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Blanco, Sparks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2518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application for an exception to the bilingual education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 </w:t>
      </w:r>
      <w:r>
        <w:t xml:space="preserve"> </w:t>
      </w:r>
      <w:r>
        <w:t xml:space="preserve">Section 29.054(c),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exception shall be granted under this section on an individual district basis and is valid for </w:t>
      </w:r>
      <w:r>
        <w:rPr>
          <w:u w:val="single"/>
        </w:rPr>
        <w:t xml:space="preserve">three years</w:t>
      </w:r>
      <w:r>
        <w:t xml:space="preserve"> </w:t>
      </w:r>
      <w:r>
        <w:t xml:space="preserve">[</w:t>
      </w:r>
      <w:r>
        <w:rPr>
          <w:strike/>
        </w:rPr>
        <w:t xml:space="preserve">only one year</w:t>
      </w:r>
      <w:r>
        <w:t xml:space="preserve">]. </w:t>
      </w:r>
      <w:r>
        <w:t xml:space="preserve"> </w:t>
      </w:r>
      <w:r>
        <w:t xml:space="preserve">Application for an exception for a second or succeeding </w:t>
      </w:r>
      <w:r>
        <w:rPr>
          <w:u w:val="single"/>
        </w:rPr>
        <w:t xml:space="preserve">period</w:t>
      </w:r>
      <w:r>
        <w:t xml:space="preserve"> </w:t>
      </w:r>
      <w:r>
        <w:t xml:space="preserve">[</w:t>
      </w:r>
      <w:r>
        <w:rPr>
          <w:strike/>
        </w:rPr>
        <w:t xml:space="preserve">year</w:t>
      </w:r>
      <w:r>
        <w:t xml:space="preserve">] must be accompanied by the documentation prescribed by Subsection (b). </w:t>
      </w:r>
      <w:r>
        <w:rPr>
          <w:u w:val="single"/>
        </w:rPr>
        <w:t xml:space="preserve">An application for an exception for a second or succeeding period may be for the same teacher or a different teacher as in a preceding period.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2518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