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88R3959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public schools to designate certain uniform election dates as staff development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25, Education Code, is amended by adding Sections 25.0813 and 25.0814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25.0813.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CAMPUS DESIGNATED AS POLLING PLACE.  If a public school campus is selected for use as a polling place under Section 43.031, Election Code, the school district or open-enrollment charter school shall designate the day the campus serves as a polling place as a staff development day.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25.0814.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INSTRUCTIONAL TIME WAIVERS FOR CAMPUSES DESIGNATED AS POLLING PLACES.  (a)  The commissioner shall provide a waiver allowing the minutes of instructional time  required under Section 25.081(a) for a school district or open-enrollment charter school campus to be reduced by the number of minutes the district or school is required to suspend instruction in compliance with Section 25.0813.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waiver under this section may not result in an inadequate number of minutes of instructional time for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