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2535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prescription glucagon medication on public and private school campuses.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Section 168.001, Health and Safety Code, is amended to read as follows:</w:t>
      </w:r>
    </w:p>
    <w:p w:rsidR="003F3435" w:rsidRDefault="0032493E">
      <w:pPr>
        <w:spacing w:line="480" w:lineRule="auto"/>
        <w:ind w:firstLine="720"/>
        <w:jc w:val="both"/>
      </w:pPr>
      <w:r>
        <w:t xml:space="preserve">Sec.</w:t>
      </w:r>
      <w:r xml:space="preserve">
        <w:t> </w:t>
      </w:r>
      <w:r>
        <w:t xml:space="preserve">168.001.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"Diabetes management and treatment plan" means the document required by Section 168.002.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"Glucagon medication" means any medication used to  treat low blood sugar that contains the hormone glucagon.</w:t>
      </w:r>
      <w:r>
        <w:t xml:space="preserve"> </w:t>
      </w:r>
    </w:p>
    <w:p w:rsidR="003F3435" w:rsidRDefault="0032493E">
      <w:pPr>
        <w:spacing w:line="480" w:lineRule="auto"/>
        <w:ind w:firstLine="1440"/>
        <w:jc w:val="both"/>
      </w:pPr>
      <w:r>
        <w:rPr>
          <w:u w:val="single"/>
        </w:rPr>
        <w:t xml:space="preserve">(3)</w:t>
      </w:r>
      <w:r>
        <w:t xml:space="preserve"> </w:t>
      </w:r>
      <w:r>
        <w:t xml:space="preserve">[</w:t>
      </w:r>
      <w:r>
        <w:rPr>
          <w:strike/>
        </w:rPr>
        <w:t xml:space="preserve">(2)</w:t>
      </w:r>
      <w:r>
        <w:t xml:space="preserve">] "Individualized health plan" means the document required by Section 168.003.</w:t>
      </w:r>
    </w:p>
    <w:p w:rsidR="003F3435" w:rsidRDefault="0032493E">
      <w:pPr>
        <w:spacing w:line="480" w:lineRule="auto"/>
        <w:ind w:firstLine="1440"/>
        <w:jc w:val="both"/>
      </w:pPr>
      <w:r>
        <w:rPr>
          <w:u w:val="single"/>
        </w:rPr>
        <w:t xml:space="preserve">(4)</w:t>
      </w:r>
      <w:r>
        <w:t xml:space="preserve"> </w:t>
      </w:r>
      <w:r>
        <w:t xml:space="preserve">[</w:t>
      </w:r>
      <w:r>
        <w:rPr>
          <w:strike/>
        </w:rPr>
        <w:t xml:space="preserve">(3)</w:t>
      </w:r>
      <w:r>
        <w:t xml:space="preserve">] "Principal" includes the principal's designee.</w:t>
      </w:r>
    </w:p>
    <w:p w:rsidR="003F3435" w:rsidRDefault="0032493E">
      <w:pPr>
        <w:spacing w:line="480" w:lineRule="auto"/>
        <w:ind w:firstLine="1440"/>
        <w:jc w:val="both"/>
      </w:pPr>
      <w:r>
        <w:rPr>
          <w:u w:val="single"/>
        </w:rPr>
        <w:t xml:space="preserve">(5)</w:t>
      </w:r>
      <w:r>
        <w:t xml:space="preserve"> </w:t>
      </w:r>
      <w:r>
        <w:t xml:space="preserve">[</w:t>
      </w:r>
      <w:r>
        <w:rPr>
          <w:strike/>
        </w:rPr>
        <w:t xml:space="preserve">(4)</w:t>
      </w:r>
      <w:r>
        <w:t xml:space="preserve">] "School" means a public elementary or secondary school. The term does not include an open-enrollment charter school established under Subchapter D, Chapter 12, Education Code.</w:t>
      </w:r>
    </w:p>
    <w:p w:rsidR="003F3435" w:rsidRDefault="0032493E">
      <w:pPr>
        <w:spacing w:line="480" w:lineRule="auto"/>
        <w:ind w:firstLine="1440"/>
        <w:jc w:val="both"/>
      </w:pPr>
      <w:r>
        <w:rPr>
          <w:u w:val="single"/>
        </w:rPr>
        <w:t xml:space="preserve">(6)</w:t>
      </w:r>
      <w:r>
        <w:t xml:space="preserve"> </w:t>
      </w:r>
      <w:r>
        <w:t xml:space="preserve">[</w:t>
      </w:r>
      <w:r>
        <w:rPr>
          <w:strike/>
        </w:rPr>
        <w:t xml:space="preserve">(5)</w:t>
      </w:r>
      <w:r>
        <w:t xml:space="preserve">] "School employee" means a person employed by:</w:t>
      </w:r>
    </w:p>
    <w:p w:rsidR="003F3435" w:rsidRDefault="0032493E">
      <w:pPr>
        <w:spacing w:line="480" w:lineRule="auto"/>
        <w:ind w:firstLine="2160"/>
        <w:jc w:val="both"/>
      </w:pPr>
      <w:r>
        <w:t xml:space="preserve">(A)</w:t>
      </w:r>
      <w:r xml:space="preserve">
        <w:t> </w:t>
      </w:r>
      <w:r xml:space="preserve">
        <w:t> </w:t>
      </w:r>
      <w:r>
        <w:t xml:space="preserve">a school;</w:t>
      </w:r>
    </w:p>
    <w:p w:rsidR="003F3435" w:rsidRDefault="0032493E">
      <w:pPr>
        <w:spacing w:line="480" w:lineRule="auto"/>
        <w:ind w:firstLine="2160"/>
        <w:jc w:val="both"/>
      </w:pPr>
      <w:r>
        <w:t xml:space="preserve">(B)</w:t>
      </w:r>
      <w:r xml:space="preserve">
        <w:t> </w:t>
      </w:r>
      <w:r xml:space="preserve">
        <w:t> </w:t>
      </w:r>
      <w:r>
        <w:t xml:space="preserve">a local health department that assists a school under this chapter; or</w:t>
      </w:r>
    </w:p>
    <w:p w:rsidR="003F3435" w:rsidRDefault="0032493E">
      <w:pPr>
        <w:spacing w:line="480" w:lineRule="auto"/>
        <w:ind w:firstLine="2160"/>
        <w:jc w:val="both"/>
      </w:pPr>
      <w:r>
        <w:t xml:space="preserve">(C)</w:t>
      </w:r>
      <w:r xml:space="preserve">
        <w:t> </w:t>
      </w:r>
      <w:r xml:space="preserve">
        <w:t> </w:t>
      </w:r>
      <w:r>
        <w:t xml:space="preserve">another entity with which a school has contracted to perform its duties under this chapter.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"Undesignated glucagon medication" means glucagon medication prescribed in the name of a school.</w:t>
      </w:r>
      <w:r>
        <w:t xml:space="preserve"> </w:t>
      </w:r>
    </w:p>
    <w:p w:rsidR="003F3435" w:rsidRDefault="0032493E">
      <w:pPr>
        <w:spacing w:line="480" w:lineRule="auto"/>
        <w:ind w:firstLine="1440"/>
        <w:jc w:val="both"/>
      </w:pPr>
      <w:r>
        <w:rPr>
          <w:u w:val="single"/>
        </w:rPr>
        <w:t xml:space="preserve">(8)</w:t>
      </w:r>
      <w:r>
        <w:t xml:space="preserve"> </w:t>
      </w:r>
      <w:r>
        <w:t xml:space="preserve">[</w:t>
      </w:r>
      <w:r>
        <w:rPr>
          <w:strike/>
        </w:rPr>
        <w:t xml:space="preserve">6</w:t>
      </w:r>
      <w:r>
        <w:t xml:space="preserve">] "Unlicensed diabetes care assistant" means a school employee who has successfully completed the training required by Section 168.005.</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Section 168.004, Occupations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unlicensed diabetes care assistant may carry undesignated glucagon medication on his or her person.</w:t>
      </w:r>
      <w:r>
        <w:t xml:space="preserve"> </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Chapter 168, Health and Safety Code, is amended by adding Section 168.012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168.012.</w:t>
      </w:r>
      <w:r>
        <w:rPr>
          <w:u w:val="single"/>
        </w:rPr>
        <w:t xml:space="preserve"> </w:t>
      </w:r>
      <w:r>
        <w:rPr>
          <w:u w:val="single"/>
        </w:rPr>
        <w:t xml:space="preserve"> </w:t>
      </w:r>
      <w:r>
        <w:rPr>
          <w:u w:val="single"/>
        </w:rPr>
        <w:t xml:space="preserve">MAINTENANCE OF GLAUCOGEN MEDICATION. (a) Each school district, open-enrollment charter school, and private school may adopt and implement a policy regarding the maintenance, administration, and disposal of glucagon medication at each campus  in the district or school.</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supply of glucagon medication at each campus must be stored in a secure location and be easily accessible to unlicensed diabetes care assistants and the school nurse.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physician or person who has been delegated  prescriptive authority under Chapter 157, Occupations Code, may prescribe glucagon medication in the name of a school district, open-enrollment charter school, or private school.</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pharmacist may dispense glucagon medication to a  school district, open-enrollment charter school, or private school without requiring the name or any other identifying information relating to the user.</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commissioner of the Health and Human  Services Commission, in consultation with the commissioner of  education, shall adopt rules regarding the maintenance, administration, and disposal of glucagon medication at a school campus.</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policy described by Subsection (a) may not require a school district, open-enrollment charter school, or private school to purchase glucagon medication or require any other expenditure  related to the maintenance or administration of glucagon medication  that would result in a negative fiscal impact on the district or school.</w:t>
      </w:r>
      <w:r>
        <w:t xml:space="preserve"> </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