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88R13157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2541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the Water Technical Assistance Consortium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Water Code, is amended by adding Chapter 9 to read as follows:</w:t>
      </w:r>
    </w:p>
    <w:p w:rsidR="003F3435" w:rsidRDefault="0032493E">
      <w:pPr>
        <w:spacing w:line="480" w:lineRule="auto"/>
        <w:jc w:val="center"/>
      </w:pPr>
      <w:r>
        <w:rPr>
          <w:u w:val="single"/>
        </w:rPr>
        <w:t xml:space="preserve">CHAPTER 9. WATER TECHNICAL ASSISTANCE CONSORTIUM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9.0101.</w:t>
      </w:r>
      <w:r>
        <w:rPr>
          <w:u w:val="single"/>
        </w:rPr>
        <w:t xml:space="preserve"> </w:t>
      </w:r>
      <w:r>
        <w:rPr>
          <w:u w:val="single"/>
        </w:rPr>
        <w:t xml:space="preserve"> </w:t>
      </w:r>
      <w:r>
        <w:rPr>
          <w:u w:val="single"/>
        </w:rPr>
        <w:t xml:space="preserve">WATER TECHNICAL ASSISTANCE CONSORTIUM.  (a)  In this section, "consortium" means the Water Technical Assistance Consortium.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and administer the Water Technical Assistance Consortium.   The consortium is subject to review under Chapter 325, Government Code, in the same manner and at the same time as the board under Section 6.013.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consortium is composed of representatives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Rural Water Association;</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counties, including at least one representative from a county with a population of 100,000 or less;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providers of technical assistance;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corporate and philanthropic interests.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consortium shall meet at least once a year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ongoing efforts to develop and expand the provision of technical assistance regarding water infrastructure and water supply in the state;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to the board to facilitate the  development and expansion of the state's water technical assistance capacity with an emphasis on the provision of water technical assistance regarding water infrastructure and water supply to small, rural, or disadvantaged communities.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