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88R5620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2542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certification of compliance with county drainage requirements for subdivisions in counties near an international border.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232.028(b),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On the commissioners court's own motion or on the written request of a subdivider, an owner or resident of a lot in a subdivision, or an entity that provides a utility service, the commissioners court shall make the following determinations regarding the land in which the entity or commissioners court is interested that is located within the jurisdiction of the county:</w:t>
      </w:r>
    </w:p>
    <w:p w:rsidR="003F3435" w:rsidRDefault="0032493E">
      <w:pPr>
        <w:spacing w:line="480" w:lineRule="auto"/>
        <w:ind w:firstLine="1440"/>
        <w:jc w:val="both"/>
      </w:pPr>
      <w:r>
        <w:t xml:space="preserve">(1)</w:t>
      </w:r>
      <w:r xml:space="preserve">
        <w:t> </w:t>
      </w:r>
      <w:r xml:space="preserve">
        <w:t> </w:t>
      </w:r>
      <w:r>
        <w:t xml:space="preserve">whether a plat has been prepared and whether it has been reviewed and approved by the commissioners court;</w:t>
      </w:r>
    </w:p>
    <w:p w:rsidR="003F3435" w:rsidRDefault="0032493E">
      <w:pPr>
        <w:spacing w:line="480" w:lineRule="auto"/>
        <w:ind w:firstLine="1440"/>
        <w:jc w:val="both"/>
      </w:pPr>
      <w:r>
        <w:t xml:space="preserve">(2)</w:t>
      </w:r>
      <w:r xml:space="preserve">
        <w:t> </w:t>
      </w:r>
      <w:r xml:space="preserve">
        <w:t> </w:t>
      </w:r>
      <w:r>
        <w:t xml:space="preserve">whether water service facilities have been constructed or installed to service the lot or subdivision under Section 232.023 and are fully operable;</w:t>
      </w:r>
    </w:p>
    <w:p w:rsidR="003F3435" w:rsidRDefault="0032493E">
      <w:pPr>
        <w:spacing w:line="480" w:lineRule="auto"/>
        <w:ind w:firstLine="1440"/>
        <w:jc w:val="both"/>
      </w:pPr>
      <w:r>
        <w:t xml:space="preserve">(3)</w:t>
      </w:r>
      <w:r xml:space="preserve">
        <w:t> </w:t>
      </w:r>
      <w:r xml:space="preserve">
        <w:t> </w:t>
      </w:r>
      <w:r>
        <w:t xml:space="preserve">whether sewer service facilities have been constructed or installed to service the lot or subdivision under Section 232.023 and are fully operable, or if septic systems are used, whether the lot is served by a permitted on-site sewage facility or lots in the subdivision can be adequately and legally served by septic systems under Section 232.023;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whether electrical and gas facilities, if available, have been constructed or installed to service the lot or subdivision under Section 232.023</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adequate drainage has been constructed or installed to service the lot or subdivision under Section 232.023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