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2548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the removal of certain children in the managing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263.403, Family Code, is amended by amending Subsection (c) and adding Subsections (c-1), (c-2), and (c-3) to read as follows:</w:t>
      </w:r>
    </w:p>
    <w:p w:rsidR="003F3435" w:rsidRDefault="0032493E">
      <w:pPr>
        <w:spacing w:line="480" w:lineRule="auto"/>
        <w:ind w:firstLine="720"/>
        <w:jc w:val="both"/>
      </w:pPr>
      <w:r>
        <w:t xml:space="preserve">(c)</w:t>
      </w:r>
      <w:r xml:space="preserve">
        <w:t> </w:t>
      </w:r>
      <w:r xml:space="preserve">
        <w:t> </w:t>
      </w:r>
      <w:r>
        <w:t xml:space="preserve">If before the dismissal of the suit or the commencement of the trial on the merits a child placed with a parent under this section must be moved from that home </w:t>
      </w:r>
      <w:r>
        <w:rPr>
          <w:u w:val="single"/>
        </w:rPr>
        <w:t xml:space="preserve">and</w:t>
      </w:r>
      <w:r>
        <w:t xml:space="preserve"> [</w:t>
      </w:r>
      <w:r>
        <w:rPr>
          <w:strike/>
        </w:rPr>
        <w:t xml:space="preserve">by the department or</w:t>
      </w:r>
      <w:r>
        <w:t xml:space="preserve">] the court renders a temporary order terminating the </w:t>
      </w:r>
      <w:r>
        <w:rPr>
          <w:u w:val="single"/>
        </w:rPr>
        <w:t xml:space="preserve">monitored return under Subsection (a)(2)(A) or the</w:t>
      </w:r>
      <w:r>
        <w:t xml:space="preserve"> transition order issued under Subsection (a)(2)(B), the court shall[</w:t>
      </w:r>
      <w:r>
        <w:rPr>
          <w:strike/>
        </w:rPr>
        <w:t xml:space="preserve">, at the time of the move or order,</w:t>
      </w:r>
      <w:r>
        <w:t xml:space="preserve">] schedule a new date for dismissal of the suit </w:t>
      </w:r>
      <w:r>
        <w:rPr>
          <w:u w:val="single"/>
        </w:rPr>
        <w:t xml:space="preserve">at the time the order is rendered</w:t>
      </w:r>
      <w:r>
        <w:t xml:space="preserve">.  The new dismissal date may not be later than the original</w:t>
      </w:r>
      <w:r>
        <w:rPr>
          <w:u w:val="single"/>
        </w:rPr>
        <w:t xml:space="preserve">, or extended,</w:t>
      </w:r>
      <w:r>
        <w:t xml:space="preserve"> dismissal date established under Section 263.401</w:t>
      </w:r>
      <w:r>
        <w:rPr>
          <w:u w:val="single"/>
        </w:rPr>
        <w:t xml:space="preserve">,</w:t>
      </w:r>
      <w:r>
        <w:t xml:space="preserve"> or the </w:t>
      </w:r>
      <w:r>
        <w:rPr>
          <w:u w:val="single"/>
        </w:rPr>
        <w:t xml:space="preserve">30th</w:t>
      </w:r>
      <w:r>
        <w:t xml:space="preserve"> [</w:t>
      </w:r>
      <w:r>
        <w:rPr>
          <w:strike/>
        </w:rPr>
        <w:t xml:space="preserve">180th</w:t>
      </w:r>
      <w:r>
        <w:t xml:space="preserve">] day after the date [</w:t>
      </w:r>
      <w:r>
        <w:rPr>
          <w:strike/>
        </w:rPr>
        <w:t xml:space="preserve">the child is moved or</w:t>
      </w:r>
      <w:r>
        <w:t xml:space="preserve">] the order is rendered under this subsection, whichever date is later.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Except as provided by Subsection (c-2), the department may not move a child who has been placed in the home of a parent under this section from that home without a hearing.</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authorized representative of the department, a law enforcement officer, or a juvenile probation officer may take possession of the child and move the child from the home in an emergency in accordance with Section 262.104. Before moving a child from the home under this subsection, the department, a law enforcement officer, or a juvenile probation officer shall to the extent practicable obtain consent to the move from the child's attorney ad litem and guardian ad litem. If a child is moved from the home in an emergency as authorized by this subsection, the court shall, after proper notice, hold a hearing on the move.  The hearing must be held before the end of the third day after the day the child is moved from the home.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The court may order a child to be moved from the home or render any other order under Subsection (c) only if, after a hearing, the court finds by a preponderance of evidence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there is an immediate danger to the physical health or safety of the child or the child has been a victim of neglect or sexual abuse;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continuation in the home would be contrary to the child's welfare;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reasonable efforts, consistent with the circumstances and providing for the safety of the child, were made to prevent or eliminate the need to move the child.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suit affecting the parent-child relationship filed on or after the effective date of this Act.  A suit affecting the parent-child relationship filed before the effective date of this Act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