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S.B.</w:t>
      </w:r>
      <w:r xml:space="preserve">
        <w:t> </w:t>
      </w:r>
      <w:r>
        <w:t xml:space="preserve">No.</w:t>
      </w:r>
      <w:r xml:space="preserve">
        <w:t> </w:t>
      </w:r>
      <w:r>
        <w:t xml:space="preserve">2556</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abolition of the Texas Windstorm Insurance Association and coverage for windstorm by certain insurers.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10, Subtitle G, is amended by adding Chapter 2210A, Insurance Code, to read as follows:</w:t>
      </w:r>
    </w:p>
    <w:p w:rsidR="003F3435" w:rsidRDefault="0032493E">
      <w:pPr>
        <w:spacing w:line="480" w:lineRule="auto"/>
        <w:jc w:val="center"/>
      </w:pPr>
      <w:r>
        <w:rPr>
          <w:u w:val="single"/>
        </w:rPr>
        <w:t xml:space="preserve">CHAPTER 2210A.  TEXAS WINDSTORM INSURANCE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2210A.001.</w:t>
      </w:r>
      <w:r>
        <w:rPr>
          <w:u w:val="single"/>
        </w:rPr>
        <w:t xml:space="preserve"> </w:t>
      </w:r>
      <w:r>
        <w:rPr>
          <w:u w:val="single"/>
        </w:rPr>
        <w:t xml:space="preserve"> </w:t>
      </w:r>
      <w:r>
        <w:rPr>
          <w:u w:val="single"/>
        </w:rPr>
        <w:t xml:space="preserve">WINDSTORM COVERAGE REQUIRED.  (a)  This chapter applies to all property insurers authorized to engage in the business of property and casualty insurance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As a condition of the insurer's authority to engage in the business of insurance in this state, each insurer, described by Subsection (a), must include coverage for windstorm and hail in each policy written for property located within: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Aransas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Brazoria County;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Calhoun County;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Cameron County;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Chambers County;</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Galveston County;</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Jefferson County;</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Kenedy County;</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Kleberg County;</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Matagorda County;</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Nueces County;</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Refugio County;</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San Patricio County; or</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Willacy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Coverage provided under Subsection (b) must be provided at no additional cost to the insured. Costs incurred by insurers under this section shall not be recouped through a premium surcharge.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2210, Insurance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The Texas Windstorm Insurance Association is abolished but continues in existence until September 1, 2024, for purpose of satisfying or transferring obligations according to Subsection (b).</w:t>
      </w:r>
    </w:p>
    <w:p w:rsidR="003F3435" w:rsidRDefault="0032493E">
      <w:pPr>
        <w:spacing w:line="480" w:lineRule="auto"/>
        <w:ind w:firstLine="720"/>
        <w:jc w:val="both"/>
      </w:pPr>
      <w:r>
        <w:t xml:space="preserve">(b)</w:t>
      </w:r>
      <w:r xml:space="preserve">
        <w:t> </w:t>
      </w:r>
      <w:r xml:space="preserve">
        <w:t> </w:t>
      </w:r>
      <w:r>
        <w:t xml:space="preserve">The Texas Windstorm Insurance Association shall, no later than September 1, 2024, liquidate all assets and utilize the funds to satisfy obligations.</w:t>
      </w:r>
    </w:p>
    <w:p w:rsidR="003F3435" w:rsidRDefault="0032493E">
      <w:pPr>
        <w:spacing w:line="480" w:lineRule="auto"/>
        <w:ind w:firstLine="720"/>
        <w:jc w:val="both"/>
      </w:pPr>
      <w:r>
        <w:t xml:space="preserve">(c)</w:t>
      </w:r>
      <w:r xml:space="preserve">
        <w:t> </w:t>
      </w:r>
      <w:r xml:space="preserve">
        <w:t> </w:t>
      </w:r>
      <w:r>
        <w:t xml:space="preserve">Any obligations not satisfied by Subsection (b) shall be paid from pro rata member assessments. The proportion of each member's assessment shall be determined in the manner used to determine each insurer's participation in the association for the year under Section 2210.052, Insurance Code, as that section existed before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