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351.101,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In addition to the purposes provided by Subsections (a) and (e), a municipality described by Section 351.102(e)(13) may use revenue from the hotel occupancy tax for the promotion of tourism.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351.102(e) and (g), Tax Code, are amended to read as follows:</w:t>
      </w:r>
    </w:p>
    <w:p w:rsidR="003F3435" w:rsidRDefault="0032493E">
      <w:pPr>
        <w:spacing w:line="480" w:lineRule="auto"/>
        <w:ind w:firstLine="720"/>
        <w:jc w:val="both"/>
      </w:pPr>
      <w:r>
        <w:t xml:space="preserve">(e)</w:t>
      </w:r>
      <w:r xml:space="preserve">
        <w:t> </w:t>
      </w:r>
      <w:r xml:space="preserve">
        <w:t> </w:t>
      </w:r>
      <w:r>
        <w:t xml:space="preserve">In addition to the municipalities described by Subsection (b), that subsection also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of at least 15,000 but not more than 21,000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wholly located in a county with a population of more than 300,000 but not more than 425,000;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county adjacent to a county with a population of over 4,000,000;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its city hall located not more than twenty miles from a cruise port in Texas.</w:t>
      </w:r>
    </w:p>
    <w:p w:rsidR="003F3435" w:rsidRDefault="0032493E">
      <w:pPr>
        <w:spacing w:line="480" w:lineRule="auto"/>
        <w:ind w:firstLine="720"/>
        <w:jc w:val="both"/>
      </w:pPr>
      <w:r>
        <w:t xml:space="preserve">(g)</w:t>
      </w:r>
      <w:r xml:space="preserve">
        <w:t> </w:t>
      </w:r>
      <w:r xml:space="preserve">
        <w:t> </w:t>
      </w:r>
      <w:r>
        <w:t xml:space="preserve">A municipality to which this section applies may not receive or pledge revenue or funds under Subsection (b) or (c) for a hotel project unless the municipality enters into an agreement with a person for the development of the hotel project before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