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88R6685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2573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the 411th District Court and of the County Court at Law of Polk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24.553,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411th District Court has concurrent jurisdiction in Polk County with the county court over all misdemeanor cases over which the county court has jurisdiction under the constitution and laws of this state.  Cases in the concurrent misdemeanor jurisdiction may be filed in either court, and all cases of concurrent misdemeanor jurisdiction may be transferred between the 411th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25.1892(a)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Polk County has concurrent [</w:t>
      </w:r>
      <w:r>
        <w:rPr>
          <w:strike/>
        </w:rPr>
        <w:t xml:space="preserve">civil</w:t>
      </w:r>
      <w:r>
        <w:t xml:space="preserve">] jurisdiction with the district court in:</w:t>
      </w:r>
    </w:p>
    <w:p w:rsidR="003F3435" w:rsidRDefault="0032493E">
      <w:pPr>
        <w:spacing w:line="480" w:lineRule="auto"/>
        <w:ind w:firstLine="1440"/>
        <w:jc w:val="both"/>
      </w:pPr>
      <w:r>
        <w:t xml:space="preserve">(1)</w:t>
      </w:r>
      <w:r xml:space="preserve">
        <w:t> </w:t>
      </w:r>
      <w:r xml:space="preserve">
        <w:t> </w:t>
      </w:r>
      <w:r>
        <w:t xml:space="preserve">cases and proceedings involving the collection of delinquent taxes, penalties, interest, and costs and the foreclosure of tax liens;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family law cases and proceedings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felony cases to conduct arraignments and pre-trial hearings and to accept guilty pleas</w:t>
      </w:r>
      <w:r>
        <w:t xml:space="preserve">.</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cases </w:t>
      </w:r>
      <w:r>
        <w:rPr>
          <w:u w:val="single"/>
        </w:rPr>
        <w:t xml:space="preserve">of concurrent jurisdiction with the district court</w:t>
      </w:r>
      <w:r>
        <w:t xml:space="preserve"> [</w:t>
      </w:r>
      <w:r>
        <w:rPr>
          <w:strike/>
        </w:rPr>
        <w:t xml:space="preserve">enumerated in Subsection (a)(2)</w:t>
      </w:r>
      <w:r>
        <w:t xml:space="preserve">], and the county clerk serves as clerk in all other cases.  [</w:t>
      </w:r>
      <w:r>
        <w:rPr>
          <w:strike/>
        </w:rPr>
        <w:t xml:space="preserve">The district clerk shall establish a separate docket for a county court at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case filed or proceeding commenced on or after the effective date of this Act.</w:t>
      </w:r>
      <w:r xml:space="preserve">
        <w:t> </w:t>
      </w:r>
      <w:r xml:space="preserve">
        <w:t> </w:t>
      </w:r>
      <w:r>
        <w:t xml:space="preserve">A case filed or proceeding commenced before the effective date of this Act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