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eminent domain authority of the Crosby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9012.154, Special District Local Laws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As provided by Section 17(c), Article I, Texas Constitution, if this Act does not receive a two-thirds vote of all the members elected to each house, this Act does not take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