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eminent domain authority of the Crosby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9012.154, Special District Local Laws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As provided by Section 17(c), Article I, Texas Constitution, if this Act does not receive a two-thirds vote of all the members elected to each house, this Act does not take effect.</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2583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2583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