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2586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w:t>
      </w:r>
      <w:r>
        <w:t xml:space="preserve"> </w:t>
      </w:r>
      <w:r>
        <w:t xml:space="preserve">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