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88R19567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of juveniles who commit certain felony offenses while committed to the custody of the Texas Juvenile Justice Department and the waiver of jurisdiction and discretionary transfer of a child from a juvenile court to a criminal court; changing eligibility for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 Code of Criminal Procedure,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Article 42A.053 does not apply to a defendant if it is shown that the defendant committed an offense punishable as a felony when the defendant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17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committed to the Texas Juvenile Justice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confined in a secure facility operated under Subtitle C, Title 12,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w:t>
      </w:r>
      <w:r>
        <w:t xml:space="preserve">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19.02,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21.11, 22.011, or 22.021,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20A.02, 20A.03, 43.04, 43.05, or 43.25,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is convicted of an offense under Section 481.1123, Health and Safety Code, if the offense is punishable under Subsection (d), (e), or (f) of that section</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 convicted of an offense punishable as a felony when the defendant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17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to the Texas Juvenile Justice Department;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confined in a secure facility operated under Subtitle C, Title 12, Human Resources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53.045(a),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constitutes habitual felony conduct as described by Section 51.031</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 that</w:t>
      </w:r>
      <w:r>
        <w:t xml:space="preserve">] included the violation of any of the following provisions: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Section 19.02, Penal Code (murder);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Section 19.03, Penal Code (capital murder);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Section 19.04, Penal Code (manslaughter);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Section 20.04, Penal Code (aggravated kidnapping);</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Section 22.011, Penal Code (sexual assault) or Section 22.021, Penal Code (aggravated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Section 22.02, Penal Code (aggravated assault);</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Section 29.03, Penal Code (aggravated robbery);</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Section 22.04, Penal Code (injury to a child, elderly individual, or disabled individual), if the offense is punishable as a felony, other than a state jail felony;</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Section 22.05(b), Penal Code (felony deadly conduct involving discharging a firearm);</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w:t xml:space="preserve">]</w:t>
      </w:r>
      <w:r xml:space="preserve">
        <w:t> </w:t>
      </w:r>
      <w:r xml:space="preserve">
        <w:t> </w:t>
      </w:r>
      <w:r>
        <w:t xml:space="preserve">Subchapter D, Chapter 481, Health and Safety Code, if the conduct constitutes a felony of the first degree or an aggravated controlled substance felony (certain offenses involving controlled substances);</w:t>
      </w:r>
    </w:p>
    <w:p w:rsidR="003F3435" w:rsidRDefault="0032493E">
      <w:pPr>
        <w:spacing w:line="480" w:lineRule="auto"/>
        <w:ind w:firstLine="2160"/>
        <w:jc w:val="both"/>
      </w:pPr>
      <w:r>
        <w:rPr>
          <w:u w:val="single"/>
        </w:rPr>
        <w:t xml:space="preserve">(K)</w:t>
      </w:r>
      <w:r xml:space="preserve">
        <w:t> </w:t>
      </w:r>
      <w:r>
        <w:t xml:space="preserve">[</w:t>
      </w:r>
      <w:r>
        <w:rPr>
          <w:strike/>
        </w:rPr>
        <w:t xml:space="preserve">(11)</w:t>
      </w:r>
      <w:r>
        <w:t xml:space="preserve">]</w:t>
      </w:r>
      <w:r xml:space="preserve">
        <w:t> </w:t>
      </w:r>
      <w:r xml:space="preserve">
        <w:t> </w:t>
      </w:r>
      <w:r>
        <w:t xml:space="preserve">Section 15.03, Penal Code (criminal solicitation);</w:t>
      </w:r>
    </w:p>
    <w:p w:rsidR="003F3435" w:rsidRDefault="0032493E">
      <w:pPr>
        <w:spacing w:line="480" w:lineRule="auto"/>
        <w:ind w:firstLine="2160"/>
        <w:jc w:val="both"/>
      </w:pPr>
      <w:r>
        <w:rPr>
          <w:u w:val="single"/>
        </w:rPr>
        <w:t xml:space="preserve">(L)</w:t>
      </w:r>
      <w:r xml:space="preserve">
        <w:t> </w:t>
      </w:r>
      <w:r>
        <w:t xml:space="preserve">[</w:t>
      </w:r>
      <w:r>
        <w:rPr>
          <w:strike/>
        </w:rPr>
        <w:t xml:space="preserve">(12)</w:t>
      </w:r>
      <w:r>
        <w:t xml:space="preserve">]</w:t>
      </w:r>
      <w:r xml:space="preserve">
        <w:t> </w:t>
      </w:r>
      <w:r xml:space="preserve">
        <w:t> </w:t>
      </w:r>
      <w:r>
        <w:t xml:space="preserve">Section 21.11(a)(1), Penal Code (indecency with a child);</w:t>
      </w:r>
    </w:p>
    <w:p w:rsidR="003F3435" w:rsidRDefault="0032493E">
      <w:pPr>
        <w:spacing w:line="480" w:lineRule="auto"/>
        <w:ind w:firstLine="2160"/>
        <w:jc w:val="both"/>
      </w:pPr>
      <w:r>
        <w:rPr>
          <w:u w:val="single"/>
        </w:rPr>
        <w:t xml:space="preserve">(M)</w:t>
      </w:r>
      <w:r xml:space="preserve">
        <w:t> </w:t>
      </w:r>
      <w:r>
        <w:t xml:space="preserve">[</w:t>
      </w:r>
      <w:r>
        <w:rPr>
          <w:strike/>
        </w:rPr>
        <w:t xml:space="preserve">(13)</w:t>
      </w:r>
      <w:r>
        <w:t xml:space="preserve">]</w:t>
      </w:r>
      <w:r xml:space="preserve">
        <w:t> </w:t>
      </w:r>
      <w:r xml:space="preserve">
        <w:t> </w:t>
      </w:r>
      <w:r>
        <w:t xml:space="preserve">Section 15.031, Penal Code (criminal solicitation of a minor);</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Section 15.01, Penal Code (criminal attempt), if the offense attempted was an offense under Section 19.02, Penal Code (murder), or Section 19.03, Penal Code (capital murder), or an offense listed by Article 42A.054(a), Code of Criminal Procedure;</w:t>
      </w:r>
    </w:p>
    <w:p w:rsidR="003F3435" w:rsidRDefault="0032493E">
      <w:pPr>
        <w:spacing w:line="480" w:lineRule="auto"/>
        <w:ind w:firstLine="2160"/>
        <w:jc w:val="both"/>
      </w:pPr>
      <w:r>
        <w:rPr>
          <w:u w:val="single"/>
        </w:rPr>
        <w:t xml:space="preserve">(O)</w:t>
      </w:r>
      <w:r xml:space="preserve">
        <w:t> </w:t>
      </w:r>
      <w:r>
        <w:t xml:space="preserve">[</w:t>
      </w:r>
      <w:r>
        <w:rPr>
          <w:strike/>
        </w:rPr>
        <w:t xml:space="preserve">(15)</w:t>
      </w:r>
      <w:r>
        <w:t xml:space="preserve">]</w:t>
      </w:r>
      <w:r xml:space="preserve">
        <w:t> </w:t>
      </w:r>
      <w:r xml:space="preserve">
        <w:t> </w:t>
      </w:r>
      <w:r>
        <w:t xml:space="preserve">Section 28.02, Penal Code (arson), if bodily injury or death is suffered by any person by reason of the commission of the conduct;</w:t>
      </w:r>
    </w:p>
    <w:p w:rsidR="003F3435" w:rsidRDefault="0032493E">
      <w:pPr>
        <w:spacing w:line="480" w:lineRule="auto"/>
        <w:ind w:firstLine="2160"/>
        <w:jc w:val="both"/>
      </w:pPr>
      <w:r>
        <w:rPr>
          <w:u w:val="single"/>
        </w:rPr>
        <w:t xml:space="preserve">(P)</w:t>
      </w:r>
      <w:r xml:space="preserve">
        <w:t> </w:t>
      </w:r>
      <w:r>
        <w:t xml:space="preserve">[</w:t>
      </w:r>
      <w:r>
        <w:rPr>
          <w:strike/>
        </w:rPr>
        <w:t xml:space="preserve">(16)</w:t>
      </w:r>
      <w:r>
        <w:t xml:space="preserve">]</w:t>
      </w:r>
      <w:r xml:space="preserve">
        <w:t> </w:t>
      </w:r>
      <w:r xml:space="preserve">
        <w:t> </w:t>
      </w:r>
      <w:r>
        <w:t xml:space="preserve">Section 49.08, Penal Code (intoxication manslaughter); or</w:t>
      </w:r>
    </w:p>
    <w:p w:rsidR="003F3435" w:rsidRDefault="0032493E">
      <w:pPr>
        <w:spacing w:line="480" w:lineRule="auto"/>
        <w:ind w:firstLine="2160"/>
        <w:jc w:val="both"/>
      </w:pPr>
      <w:r>
        <w:rPr>
          <w:u w:val="single"/>
        </w:rPr>
        <w:t xml:space="preserve">(Q)</w:t>
      </w:r>
      <w:r xml:space="preserve">
        <w:t> </w:t>
      </w:r>
      <w:r>
        <w:t xml:space="preserve">[</w:t>
      </w:r>
      <w:r>
        <w:rPr>
          <w:strike/>
        </w:rPr>
        <w:t xml:space="preserve">(17)</w:t>
      </w:r>
      <w:r>
        <w:t xml:space="preserve">]</w:t>
      </w:r>
      <w:r xml:space="preserve">
        <w:t> </w:t>
      </w:r>
      <w:r xml:space="preserve">
        <w:t> </w:t>
      </w:r>
      <w:r>
        <w:t xml:space="preserve">Section 15.02, Penal Code (criminal conspiracy), if the offense made the subject of the criminal conspiracy includes a violation of any of the provisions referenced in </w:t>
      </w:r>
      <w:r>
        <w:rPr>
          <w:u w:val="single"/>
        </w:rPr>
        <w:t xml:space="preserve">Paragraphs (A) through (P);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constitutes a felony of the first, second, or third degree committed while the child was committed to the Texas Juvenile Justice Department</w:t>
      </w:r>
      <w:r>
        <w:t xml:space="preserve"> [</w:t>
      </w:r>
      <w:r>
        <w:rPr>
          <w:strike/>
        </w:rPr>
        <w:t xml:space="preserve">Subdivisions (1) through (16)</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54.02(a) and (j), Family Code, are amended to read as follows:</w:t>
      </w:r>
    </w:p>
    <w:p w:rsidR="003F3435" w:rsidRDefault="0032493E">
      <w:pPr>
        <w:spacing w:line="480" w:lineRule="auto"/>
        <w:ind w:firstLine="720"/>
        <w:jc w:val="both"/>
      </w:pPr>
      <w:r>
        <w:t xml:space="preserve">(a)</w:t>
      </w:r>
      <w:r xml:space="preserve">
        <w:t> </w:t>
      </w:r>
      <w:r xml:space="preserve">
        <w:t> </w:t>
      </w:r>
      <w:r>
        <w:t xml:space="preserve">The juvenile court may waive its exclusive original jurisdiction and transfer a child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child is alleged to have violated a penal law of the grade of felony;</w:t>
      </w:r>
    </w:p>
    <w:p w:rsidR="003F3435" w:rsidRDefault="0032493E">
      <w:pPr>
        <w:spacing w:line="480" w:lineRule="auto"/>
        <w:ind w:firstLine="1440"/>
        <w:jc w:val="both"/>
      </w:pPr>
      <w:r>
        <w:t xml:space="preserve">(2)</w:t>
      </w:r>
      <w:r xml:space="preserve">
        <w:t> </w:t>
      </w:r>
      <w:r xml:space="preserve">
        <w:t> </w:t>
      </w:r>
      <w:r>
        <w:t xml:space="preserve">the child was:</w:t>
      </w:r>
    </w:p>
    <w:p w:rsidR="003F3435" w:rsidRDefault="0032493E">
      <w:pPr>
        <w:spacing w:line="480" w:lineRule="auto"/>
        <w:ind w:firstLine="2160"/>
        <w:jc w:val="both"/>
      </w:pPr>
      <w:r>
        <w:t xml:space="preserve">(A)</w:t>
      </w:r>
      <w:r xml:space="preserve">
        <w:t> </w:t>
      </w:r>
      <w:r xml:space="preserve">
        <w:t> </w:t>
      </w:r>
      <w:r>
        <w:t xml:space="preserve">14 years of age or older at the time </w:t>
      </w:r>
      <w:r>
        <w:rPr>
          <w:u w:val="single"/>
        </w:rPr>
        <w:t xml:space="preserve">the child</w:t>
      </w:r>
      <w:r>
        <w:t xml:space="preserve"> [</w:t>
      </w:r>
      <w:r>
        <w:rPr>
          <w:strike/>
        </w:rPr>
        <w:t xml:space="preserve">he</w:t>
      </w:r>
      <w:r>
        <w:t xml:space="preserve">] is alleged to have committed the offense, if the offense is a capital felony, an aggravated controlled substance felony, or a felony of the first degree, and no adjudication hearing has been conducted concerning that offense; or</w:t>
      </w:r>
    </w:p>
    <w:p w:rsidR="003F3435" w:rsidRDefault="0032493E">
      <w:pPr>
        <w:spacing w:line="480" w:lineRule="auto"/>
        <w:ind w:firstLine="2160"/>
        <w:jc w:val="both"/>
      </w:pPr>
      <w:r>
        <w:t xml:space="preserve">(B)</w:t>
      </w:r>
      <w:r xml:space="preserve">
        <w:t> </w:t>
      </w:r>
      <w:r xml:space="preserve">
        <w:t> </w:t>
      </w:r>
      <w:r>
        <w:t xml:space="preserve">15 years of age or older at the time the child is alleged to have committed the offense, if the offense is a felony of the second or third degree [</w:t>
      </w:r>
      <w:r>
        <w:rPr>
          <w:strike/>
        </w:rPr>
        <w:t xml:space="preserve">or a state jail felony</w:t>
      </w:r>
      <w:r>
        <w:t xml:space="preserve">], and no adjudication hearing has been conducted concerning that offense; and</w:t>
      </w:r>
    </w:p>
    <w:p w:rsidR="003F3435" w:rsidRDefault="0032493E">
      <w:pPr>
        <w:spacing w:line="480" w:lineRule="auto"/>
        <w:ind w:firstLine="1440"/>
        <w:jc w:val="both"/>
      </w:pPr>
      <w:r>
        <w:t xml:space="preserve">(3)</w:t>
      </w:r>
      <w:r xml:space="preserve">
        <w:t> </w:t>
      </w:r>
      <w:r xml:space="preserve">
        <w:t> </w:t>
      </w:r>
      <w:r>
        <w:t xml:space="preserve">after a full investigation and a hearing, the juvenile court determines that there is probable cause to believe that the child before the court committed the offense alleged and that because of the seriousness of the offense alleged or the background of the child the welfare of the community requires criminal proceedings.</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18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t xml:space="preserve">10 years of age or older and under 17 years of age at the time the person is alleged to have committed a capital felony or an offense under Section 19.02, Penal Code;</w:t>
      </w:r>
    </w:p>
    <w:p w:rsidR="003F3435" w:rsidRDefault="0032493E">
      <w:pPr>
        <w:spacing w:line="480" w:lineRule="auto"/>
        <w:ind w:firstLine="2160"/>
        <w:jc w:val="both"/>
      </w:pPr>
      <w:r>
        <w:t xml:space="preserve">(B)</w:t>
      </w:r>
      <w:r xml:space="preserve">
        <w:t> </w:t>
      </w:r>
      <w:r xml:space="preserve">
        <w:t> </w:t>
      </w:r>
      <w:r>
        <w:t xml:space="preserve">14 years of age or older and under 17 years of age at the time the person is alleged to have committed an aggravated controlled substance felony or a felony of the first degree other than an offense under Section 19.02,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17 years of age at the time the person is alleged to have committed a felony of the second or third degree [</w:t>
      </w:r>
      <w:r>
        <w:rPr>
          <w:strike/>
        </w:rPr>
        <w:t xml:space="preserve">or a state jail felony</w:t>
      </w:r>
      <w:r>
        <w:t xml:space="preserve">];</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18th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18th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18th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Articles 42A.054 and 42A.056, Code of Criminal Procedure, and Sections 53.045 and 54.02, Family Code, apply only to an offense committed or conduct that occurs on or after the effective date of this Act. </w:t>
      </w:r>
      <w:r>
        <w:t xml:space="preserve"> </w:t>
      </w:r>
      <w:r>
        <w:t xml:space="preserve">An offense committed or conduct that occurred before that date is governed by the law in effect on the date the offense was committed or the conduct occurred, and the former law is continued in effect for that purpose. </w:t>
      </w:r>
      <w:r>
        <w:t xml:space="preserve"> </w:t>
      </w:r>
      <w:r>
        <w:t xml:space="preserve">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