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88R30938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2593</w:t>
      </w:r>
    </w:p>
    <w:p w:rsidR="003F3435" w:rsidRDefault="0032493E">
      <w:pPr>
        <w:ind w:firstLine="720"/>
        <w:jc w:val="both"/>
      </w:pPr>
      <w:r>
        <w:t xml:space="preserve">(Moody)</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2593:</w:t>
      </w: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C.S.S.B.</w:t>
      </w:r>
      <w:r xml:space="preserve">
        <w:t> </w:t>
      </w:r>
      <w:r>
        <w:t xml:space="preserve">No.</w:t>
      </w:r>
      <w:r xml:space="preserve">
        <w:t> </w:t>
      </w:r>
      <w:r>
        <w:t xml:space="preserve">2593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defense to prosecution for certain assaultive offenses involving the use or exhibition of a less-lethal projectile device by a peace officer.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22, Penal Code, is amended by adding Section 22.065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22.065.</w:t>
      </w:r>
      <w:r>
        <w:rPr>
          <w:u w:val="single"/>
        </w:rPr>
        <w:t xml:space="preserve"> </w:t>
      </w:r>
      <w:r>
        <w:rPr>
          <w:u w:val="single"/>
        </w:rPr>
        <w:t xml:space="preserve"> </w:t>
      </w:r>
      <w:r>
        <w:rPr>
          <w:u w:val="single"/>
        </w:rPr>
        <w:t xml:space="preserve">DEFENSE TO CERTAIN ASSAULTIVE OFFENSES INVOLVING LESS-LETHAL PROJECTILE DEVICE.  (a)  In this section, "less-lethal projectile device" means any weapon, device, or munition that deploys a projectile that is designed or intended to temporarily incapacitate the target while minimizing the risk of serious bodily injury or death.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a defense to prosecution of an offense under Section 22.01, 22.02, or 22.05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conduct constituting the threat or bodily injury resulted from the use or exhibition of a less-lethal projectile device;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actor reasonably believed the use or exhibition of the device was immediately necessary to accomplish the actor's official duties as a peace officer;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did not intentionally, knowingly, or recklessly cause serious bodily injury or death when using or exhibiting the device;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actor used or exhibited the device in substantial compliance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actor's training;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policies and procedures of the law enforcement agency employing the actor;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manufacturer's instructions for the device.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2593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