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88R31198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 et al.</w:t>
      </w:r>
      <w:r xml:space="preserve">
        <w:tab wTab="150" tlc="none" cTlc="0"/>
      </w:r>
      <w:r>
        <w:t xml:space="preserve">S.B.</w:t>
      </w:r>
      <w:r xml:space="preserve">
        <w:t> </w:t>
      </w:r>
      <w:r>
        <w:t xml:space="preserve">No.</w:t>
      </w:r>
      <w:r xml:space="preserve">
        <w:t> </w:t>
      </w:r>
      <w:r>
        <w:t xml:space="preserve">2627</w:t>
      </w:r>
    </w:p>
    <w:p w:rsidR="003F3435" w:rsidRDefault="0032493E">
      <w:pPr>
        <w:ind w:firstLine="720"/>
        <w:jc w:val="both"/>
      </w:pPr>
      <w:r>
        <w:t xml:space="preserve">(Hunter)</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2627:</w:t>
      </w:r>
    </w:p>
    <w:p w:rsidR="003F3435" w:rsidRDefault="0032493E">
      <w:pPr>
        <w:spacing w:line="480" w:lineRule="auto"/>
        <w:jc w:val="both"/>
        <w:tabs>
          <w:tab w:val="right" w:leader="none" w:pos="9350"/>
        </w:tabs>
      </w:pPr>
      <w:r>
        <w:t xml:space="preserve">By:</w:t>
      </w:r>
      <w:r xml:space="preserve">
        <w:t> </w:t>
      </w:r>
      <w:r xml:space="preserve">
        <w:t> </w:t>
      </w:r>
      <w:r>
        <w:t xml:space="preserve">Spiller</w:t>
      </w:r>
      <w:r xml:space="preserve">
        <w:tab wTab="150" tlc="none" cTlc="0"/>
      </w:r>
      <w:r>
        <w:t xml:space="preserve">C.S.S.B.</w:t>
      </w:r>
      <w:r xml:space="preserve">
        <w:t> </w:t>
      </w:r>
      <w:r>
        <w:t xml:space="preserve">No.</w:t>
      </w:r>
      <w:r xml:space="preserve">
        <w:t> </w:t>
      </w:r>
      <w:r>
        <w:t xml:space="preserve">2627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funding mechanisms to support the construction and operation of electric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Powering Texas Forward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B, Title 2, Utilities Code, is amended by adding Chapter 34</w:t>
      </w:r>
      <w:r xml:space="preserve">
        <w:t> </w:t>
      </w:r>
      <w:r>
        <w:t xml:space="preserve">to read as follows:</w:t>
      </w:r>
    </w:p>
    <w:p w:rsidR="003F3435" w:rsidRDefault="0032493E">
      <w:pPr>
        <w:spacing w:line="480" w:lineRule="auto"/>
        <w:jc w:val="center"/>
      </w:pPr>
      <w:r>
        <w:rPr>
          <w:u w:val="single"/>
        </w:rPr>
        <w:t xml:space="preserve">CHAPTER 34. </w:t>
      </w:r>
      <w:r>
        <w:rPr>
          <w:u w:val="single"/>
        </w:rPr>
        <w:t xml:space="preserve"> </w:t>
      </w:r>
      <w:r>
        <w:rPr>
          <w:u w:val="single"/>
        </w:rPr>
        <w:t xml:space="preserve">FACILITY FUNDING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"Advisory committee" means the Texas Energy Fund Advisory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"Fund" means the Texas energy fund established by Section 49-q, Article III, Texas Constitution.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"Trust company" means the Texas Treasury Safekeeping Trust Company.</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34.0102.</w:t>
      </w:r>
      <w:r>
        <w:rPr>
          <w:u w:val="single"/>
        </w:rPr>
        <w:t xml:space="preserve"> </w:t>
      </w:r>
      <w:r>
        <w:rPr>
          <w:u w:val="single"/>
        </w:rPr>
        <w:t xml:space="preserve"> </w:t>
      </w:r>
      <w:r>
        <w:rPr>
          <w:u w:val="single"/>
        </w:rPr>
        <w:t xml:space="preserve">FUND.  (a) </w:t>
      </w:r>
      <w:r>
        <w:rPr>
          <w:u w:val="single"/>
        </w:rPr>
        <w:t xml:space="preserve"> </w:t>
      </w:r>
      <w:r>
        <w:rPr>
          <w:u w:val="single"/>
        </w:rPr>
        <w:t xml:space="preserve">The fund is a special fund in the state treasury outside the general revenue fund to be administered and used by the commission for the purposes authorized by this chapter. </w:t>
      </w:r>
      <w:r>
        <w:rPr>
          <w:u w:val="single"/>
        </w:rPr>
        <w:t xml:space="preserve"> </w:t>
      </w:r>
      <w:r>
        <w:rPr>
          <w:u w:val="single"/>
        </w:rPr>
        <w:t xml:space="preserve">The commission may establish separate accounts in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and the fund's accounts are kept and held by the trust company for and in the name of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deposited to the credit of the fund may be used only as provided by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appropriated, credited, transferred, or deposited to the credit of the fund by or as authorized by law, including money from any source transferred or deposited to the credit of the fund at the commission's discretion;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revenue that the legislature by statute dedicates for deposit to the credit of the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investment earnings and interest earned on money in the fund;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gifts, grants, and donations contributed to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34.0103.</w:t>
      </w:r>
      <w:r>
        <w:rPr>
          <w:u w:val="single"/>
        </w:rPr>
        <w:t xml:space="preserve"> </w:t>
      </w:r>
      <w:r>
        <w:rPr>
          <w:u w:val="single"/>
        </w:rPr>
        <w:t xml:space="preserve"> </w:t>
      </w:r>
      <w:r>
        <w:rPr>
          <w:u w:val="single"/>
        </w:rPr>
        <w:t xml:space="preserve">LOANS FOR ERCOT POWER REGION.  (a) The commission may use money in the fund without further appropriation to provide loans to finance upgrades to existing dispatchable electric generating facilities providing power for the ERCOT power region that result in a net increase of 100 megawatts of capacity for each facility or the construction of dispatchable electric generating facilities providing power for the ERCOT power region that each have a generation capacity of at least 100 megawatts. </w:t>
      </w:r>
      <w:r>
        <w:rPr>
          <w:u w:val="single"/>
        </w:rPr>
        <w:t xml:space="preserve"> </w:t>
      </w:r>
      <w:r>
        <w:rPr>
          <w:u w:val="single"/>
        </w:rPr>
        <w:t xml:space="preserve">For the purposes of this section, a generating facility is considered to be dispatchable if the facility's output can be controlled primarily by forces under human control. </w:t>
      </w:r>
      <w:r>
        <w:rPr>
          <w:u w:val="single"/>
        </w:rPr>
        <w:t xml:space="preserve"> </w:t>
      </w:r>
      <w:r>
        <w:rPr>
          <w:u w:val="single"/>
        </w:rPr>
        <w:t xml:space="preserve">An electric energy storage facility is not eligible for a loan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provide a construction loan under this section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construction of a facility that will have a generation capacity of at least 100 megawatts and that does not meet the planning model requirements necessary to be included in the Capacity Demand and Reserves Report of the independent organization certified under Section 39.151 for the ERCOT power region before June 1, 2023;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an amount that does not exceed 60 percent of the estimated cost of the facility to be constructed;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agreement ensures that the loan is to be the senior debt secured by the facility.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evaluate an application for a loan under this section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quality of services and management;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efficiency of operations;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history of electricity generation operations in this state and this country;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resource operation attributes;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ability to address regional and reliability needs;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access to resources essential for operating the facility for which the loan is requested, such as land, water, and reliable infrastructure, as applicable;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evidence of creditworthiness and ability to repay the loan on the terms established in the loan agreement, including the applicant's total assets, total liabilities, net worth, and credit ratings issued by major credit rating agencies;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generation capacity and estimated costs of the project for which the loan is requested;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factors the commission considers appropriate.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Outstanding loans provided under this section and grants provided under Section 34.0104, considered together, may not support the addition or construction of more than the amount of megawatts of generation capacity needed to meet reliability standards, goals, or operational targets for the ERCOT power region, as determined by the commission.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electric utility other than a river authority may not receive a loan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loan provided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a term of 20 years;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payable ratably starting on the seventh anniversary of the date the loan is issued;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bear an interest rate of two percent.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require each recipient of a loan under this section to deposit in an escrow account held by the comptroller an amount of money equal to three percent of the estimated cost of the project for which the loan is provided.  The deposit must be made before the loan funds are disbursed.  The loan recipient may not withdraw the deposit unless authorized by the commission.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For money deposited under Subsection (g) for a loan for the construction of a new facility,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authorize the loan recipient to withdraw the deposit from the escrow account if the facility for which the loan was provided is interconnected in the ERCOT power region before the fourth anniversary of the date the loan funds were disbursed;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after the fourth anniversary of the date the loan funds were disbursed, may authorize the loan recipient to withdraw the deposit from the escrow account if the facility for which the loan was provided is interconnected in the ERCOT power region not later than the fifth anniversary of the date the loan funds were disbursed and the commission determines that extenuating circumstances justify the delay in completion.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For money deposited under Subsection (g) for a loan for an upgrade to an existing facility,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authorize the loan recipient to withdraw the deposit from the escrow account if the project for which the loan was provided is completed before the third anniversary of the date the loan funds were disbursed;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after the third anniversary of the date the loan funds were disbursed, may authorize the loan recipient to withdraw the deposit from the escrow account if the project for which the loan was provided is completed not later than the fourth anniversary of the date the loan funds were disbursed and the commission determines that extenuating circumstances justify the delay in completion.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comptroller shall deposit to the credit of the fund any escrow funds described by Subsection (g) that the commission may not authorize to be withdrawn by a loan recipient.</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Information submitted to the commission in an application for a loan under this section is confidential and not subject to disclosure under Chapter 552, Government Code.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commission may not disburse money for a loan under this section after December 31, 2026.</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34.0104.</w:t>
      </w:r>
      <w:r>
        <w:rPr>
          <w:u w:val="single"/>
        </w:rPr>
        <w:t xml:space="preserve"> </w:t>
      </w:r>
      <w:r>
        <w:rPr>
          <w:u w:val="single"/>
        </w:rPr>
        <w:t xml:space="preserve"> </w:t>
      </w:r>
      <w:r>
        <w:rPr>
          <w:u w:val="single"/>
        </w:rPr>
        <w:t xml:space="preserve">COMPLETION BONUS GRANTS.  (a) </w:t>
      </w:r>
      <w:r>
        <w:rPr>
          <w:u w:val="single"/>
        </w:rPr>
        <w:t xml:space="preserve"> </w:t>
      </w:r>
      <w:r>
        <w:rPr>
          <w:u w:val="single"/>
        </w:rPr>
        <w:t xml:space="preserve">The commission shall provide, using money available in the fund for the purpose without further appropriation, a completion bonus grant for the construction of dispatchable electric generating facilities in the ERCOT power region.  For the purposes of this section, a generating facility is considered to be dispatchable if the facility's output can be controlled primarily by forces under human control.  An electric energy storage facility is not eligible for a grant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grant under this section must be based on the megawatts of capacity provided to the ERCOT power region by the facility.</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provide a grant under this section only for construction of a facility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will have a generation capacity of at least 100 megawatts;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meet the planning model requirements necessary to be included in the Capacity Demand and Reserves Report of the independent organization certified under Section 39.151 for the ERCOT power region before June 1, 2023;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interconnected in the ERCOT power region not later than December 31, 2028, or, if the commission determines that extenuating circumstances justify a delay in the facility's completion, before a later date as specified by the commission that must be not later than June 1, 2029.</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evaluate an application for a grant under this section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quality of services and management;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efficiency of operations;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history of electricity generation operations in this state and this country;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resource operation attributes;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ability to address regional and reliability needs;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generation capacity and estimated construction costs of the facility for which the grant is requested;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factors the commission considers appropriate.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Information submitted to the commission in an application for a grant under this section is confidential and not subject to disclosure under Chapter 552,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may not provide a grant under this section of more than $100,000 per megawatt of capacity provided by the facility.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may not provide a grant under this section after September 1, 2029.</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34.0105.</w:t>
      </w:r>
      <w:r>
        <w:rPr>
          <w:u w:val="single"/>
        </w:rPr>
        <w:t xml:space="preserve"> </w:t>
      </w:r>
      <w:r>
        <w:rPr>
          <w:u w:val="single"/>
        </w:rPr>
        <w:t xml:space="preserve"> </w:t>
      </w:r>
      <w:r>
        <w:rPr>
          <w:u w:val="single"/>
        </w:rPr>
        <w:t xml:space="preserve">LOAN AND GRANT RESTRICTIONS. </w:t>
      </w:r>
      <w:r>
        <w:rPr>
          <w:u w:val="single"/>
        </w:rPr>
        <w:t xml:space="preserve"> </w:t>
      </w:r>
      <w:r>
        <w:rPr>
          <w:u w:val="single"/>
        </w:rPr>
        <w:t xml:space="preserve">(a) </w:t>
      </w:r>
      <w:r>
        <w:rPr>
          <w:u w:val="single"/>
        </w:rPr>
        <w:t xml:space="preserve"> </w:t>
      </w:r>
      <w:r>
        <w:rPr>
          <w:u w:val="single"/>
        </w:rPr>
        <w:t xml:space="preserve">If the commission has more than four pending applications for loans to be made from the fund on the date the commission awards a loan, the amount of the loan awarded may not exceed 25 percent of the fund balance on that date.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not provide a loan or a grant for a facility under this chapter if the facility will be used primarily to serve an industrial load or private use network.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December 31, 2026, the commission may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loans under Section 34.0103, not more than 80 percent of the money available in the fund on December 1, 2023;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grants under Section 34.0104, not more than 20 percent of the money available in the fund on December 1, 2023.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(c) and this subsection expire December 31, 2026.</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34.0106.</w:t>
      </w:r>
      <w:r>
        <w:rPr>
          <w:u w:val="single"/>
        </w:rPr>
        <w:t xml:space="preserve"> </w:t>
      </w:r>
      <w:r>
        <w:rPr>
          <w:u w:val="single"/>
        </w:rPr>
        <w:t xml:space="preserve"> </w:t>
      </w:r>
      <w:r>
        <w:rPr>
          <w:u w:val="single"/>
        </w:rPr>
        <w:t xml:space="preserve">MANAGEMENT AND INVESTMENT OF FUND.  (a)  The trust company shall hold and invest the fund, and any accounts established in the fund, for and in the name of the commission, taking into account the purposes for which money in the fund may be used.  The fund may be invested with the state treasury pool and commingled with other investments.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overall objective for the investment of the fund is to maintain sufficient liquidity to meet the needs of the fund while striving to preserve the purchasing power of the fund over a full economic cycle.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managing the assets of the fund, the trust company may acquire, exchange, sell, supervise, manage, or retain any kind of investment that a prudent investor, exercising reasonable care, skill, and caution, would acquire or retain in light of the purposes, terms, distribution requirements, and other circumstances of the fund then prevailing, taking into consideration the investment of all the assets of the fund rather than a single investment.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reasonable expenses of managing the fund's assets shall be paid from the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trust company annually shall provide a written report to the commission and to the advisory committee with respect to the investment of the fund.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trust company shall adopt a written investment policy that is appropriate for the fund.  The trust company shall present the investment policy to the investment advisory board established under Section 404.028, Government Code.  The investment advisory board shall submit to the trust company recommendations regarding the policy.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annually shall provide to the trust company a forecast of the cash flows into and out of the fund.  The commission shall provide updates to the forecasts as appropriate to ensure that the trust company is able to achieve the objective specified by Subsection (b).</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trust company shall disburse money from the fund as directed by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34.0107.</w:t>
      </w:r>
      <w:r>
        <w:rPr>
          <w:u w:val="single"/>
        </w:rPr>
        <w:t xml:space="preserve"> </w:t>
      </w:r>
      <w:r>
        <w:rPr>
          <w:u w:val="single"/>
        </w:rPr>
        <w:t xml:space="preserve"> </w:t>
      </w:r>
      <w:r>
        <w:rPr>
          <w:u w:val="single"/>
        </w:rPr>
        <w:t xml:space="preserve">RECEIVERSHIP OF DEFAULT GENERATING FACILITY.  (a) In this section, "default"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default in payment of the principal of or interest on a loan;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failure to perform any of the terms of a loan.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including the commission, the advisory committee, and the trust company, may not retain an ownership interest in a project or facility for which a loan is provided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the event of a default on a loan made under this chapter, at the request of the commission, the attorney general shall bring suit in a district court in Travis County for the appointment of a receiver to collect the assets and carry on the business of a loan recipient if the action is necessary to cure a default by the recipient.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shall vest a receiver appointed by the court with any power or duty the court finds necessary to cure the default, including the power or duty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 audits;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 ongoing operation of the assets;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fund reserve accounts;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make payments of the principal of or interest on bonds, securities, or other obligations;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take any other action necessary to prevent or to remedy the default, including the sale of assets.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receiver shall execute a bond in an amount to be set by the court to ensure the proper performance of the receiver's duties.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After appointment and execution of bond, the receiver shall take possession of the books, records, accounts, and assets of the defaulting loan recipient specified by the court.  Until discharged by the court, the receiver shall perform the duties that the court directs and shall strictly observe the final order involved.</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a showing of good cause by the defaulting loan recipient, the court may dissolve the receivership.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34.0108.</w:t>
      </w:r>
      <w:r>
        <w:rPr>
          <w:u w:val="single"/>
        </w:rPr>
        <w:t xml:space="preserve"> </w:t>
      </w:r>
      <w:r>
        <w:rPr>
          <w:u w:val="single"/>
        </w:rPr>
        <w:t xml:space="preserve"> </w:t>
      </w:r>
      <w:r>
        <w:rPr>
          <w:u w:val="single"/>
        </w:rPr>
        <w:t xml:space="preserve">TEXAS ENERGY FUND ADVISORY COMMITTEE.  (a)  The advisory committee is composed of the following six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 of the senate appointed by the lieutenant governor,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member of the committee of the senate having primary jurisdiction over matters relating to the generation of electricity;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member of the committee of the senate having primary jurisdiction over finance;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of the house of representatives appointed by the speaker of the house of representatives,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member of the committee of the house of representatives having primary jurisdiction over the generation of electricity;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member of the committee of the house of representatives having primary jurisdiction over finance.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of the advisory committee serves at the will of the person who appointed the member.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lieutenant governor shall appoint a co-presiding officer of the advisory committee from among the members appointed by the lieutenant governor.  The speaker of the house of representatives shall appoint a co-presiding officer of the advisory committee from among the members appointed by the speaker.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advisory committee may hold public hearings, formal meetings, and work sessions.  Either co-presiding officer of the advisory committee may call a public hearing, formal meeting, or work session of the advisory committee at any time.  The advisory committee may not take formal action at a public hearing, formal meeting, or work session unless a quorum of the committee is present.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otherwise provided by this subsection, a member of the advisory committee is not entitled to receive compensation for service on the committee or reimbursement for expenses incurred in the performance of official duties as a member of the committee.  Service on the advisory committee by a member of the senate or house of representatives is considered legislative service for which the member is entitled to reimbursement and other benefits in the same manner and to the same extent as for other legislative service.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advisory committee: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provide comments and recommendations to the commission for the commission to use in adopting rules regarding the use of the fund or on any other matter;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review the overall operation, function, and structure of the fund at least semiannually.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advisory committee may adopt rules, procedures, and policies as needed to administer this section and implement its responsibilities.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Chapter 2110, Government Code, does not apply to the size, composition, or duration of the advisory committee.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advisory committee is subject to Chapter 325, Government Code (Texas Sunset Act).  Unless continued in existence as provided by that chapter, the advisory committee is abolished September 1, 2035.</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34.0109.</w:t>
      </w:r>
      <w:r>
        <w:rPr>
          <w:u w:val="single"/>
        </w:rPr>
        <w:t xml:space="preserve"> </w:t>
      </w:r>
      <w:r>
        <w:rPr>
          <w:u w:val="single"/>
        </w:rPr>
        <w:t xml:space="preserve"> </w:t>
      </w:r>
      <w:r>
        <w:rPr>
          <w:u w:val="single"/>
        </w:rPr>
        <w:t xml:space="preserve">RULES.  (a) </w:t>
      </w:r>
      <w:r>
        <w:rPr>
          <w:u w:val="single"/>
        </w:rPr>
        <w:t xml:space="preserve"> </w:t>
      </w:r>
      <w:r>
        <w:rPr>
          <w:u w:val="single"/>
        </w:rPr>
        <w:t xml:space="preserve">The commission by rule may establish procedures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application for and award of a grant or loan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administration of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give full consideration to comments and recommendations of the advisory committee.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35.005, Utilities Code, is amended by adding Subsections (d), (e), and (f)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independent organization certified under Section 39.151 for the ERCOT power region shall work with electric utilities to ensure that each facility in the ERCOT power region for which a loan or grant is provided under Chapter 34 is fully interconnected in the region not later than the date the facility is ready for commercial operation. The independent organization certified under Section 39.151 for the ERCOT power region shall give priority to interconnecting each facility for which a loan or grant is provided under Chapter 34 except that the organization shall prioritize transmission projects that the organization has formally designated as critical for reliability over a facility for which a loan or grant is provided under Chapter 34. </w:t>
      </w:r>
      <w:r>
        <w:rPr>
          <w:u w:val="single"/>
        </w:rPr>
        <w:t xml:space="preserve"> </w:t>
      </w:r>
      <w:r>
        <w:rPr>
          <w:u w:val="single"/>
        </w:rPr>
        <w:t xml:space="preserve">An electric utility that enters into an interconnection agreement for a facility for which a loan or grant is provided under Chapter 34 shall give priority to interconnecting the facility and complete construction of any other facilities necessary to interconnect the facility not later than the date the facility is ready for commercial operation except that the utility shall prioritize transmission projects that the independent organization certified under Section 39.151 for the ERCOT power region has formally designated as critical for reliability over a facility for which a loan or grant is provided under Chapter 34.</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commission receives an application under Chapter 37 for a certificate of convenience and necessity related to facilities necessary to interconnect a facility for which a loan or grant is provided under Chapter 34 and does not approve the application before the 90th day after the date the commission received the application, the deadline established by Subsection (d) is extended one day for each day after the 90th day in which the commission does not approve the application.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may extend the deadline established by Subsection (d) after notice, hearing, and a determination on a showing of good cause that fully interconnecting the facility before the deadline is not feasible.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December 31, 2026, the Public Utility Commission of Texas shall accept loan applications for loans authorized by Chapter 34, Utilities Code, as added by this Act, approve or deny each loan application, and disburse loan funds for each approved applicant.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on the date on which the constitutional amendment proposed by the 88th Legislature, Regular Session, 2023, providing for the creation of the Texas energy fund to support the construction and operation of electric facilities takes effect. </w:t>
      </w:r>
      <w:r>
        <w:t xml:space="preserve"> </w:t>
      </w:r>
      <w:r>
        <w:t xml:space="preserve">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2627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