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2023S0392-2  05/01/23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2628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medical clearance before admission to an inpatient mental health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575.001,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(c), the</w:t>
      </w:r>
      <w:r>
        <w:t xml:space="preserve"> [</w:t>
      </w:r>
      <w:r>
        <w:rPr>
          <w:strike/>
        </w:rPr>
        <w:t xml:space="preserve">The</w:t>
      </w:r>
      <w:r>
        <w:t xml:space="preserve">] facility administrator of an inpatient mental health facility may admit and detain a patient under the procedures prescribed by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patient may not be admitted under Subsection (a) unless the patient has undergone a medical examination that determines that the patient does not have a medical condition that would prevent facility staff from providing care to the patient or other patients.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admission to an inpatient mental health facility on or after the effective date of this Act.  An admission before the effective date of this Act is governed by the law in effect on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