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2628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May</w:t>
      </w:r>
      <w:r xml:space="preserve">
        <w:t> </w:t>
      </w:r>
      <w:r>
        <w:t xml:space="preserve">2,</w:t>
      </w:r>
      <w:r xml:space="preserve">
        <w:t> </w:t>
      </w:r>
      <w:r>
        <w:t xml:space="preserve">2023; May</w:t>
      </w:r>
      <w:r xml:space="preserve">
        <w:t> </w:t>
      </w:r>
      <w:r>
        <w:t xml:space="preserve">2,</w:t>
      </w:r>
      <w:r xml:space="preserve">
        <w:t> </w:t>
      </w:r>
      <w:r>
        <w:t xml:space="preserve">2023, read first time and referred to Committee on Health &amp; Human Services; May</w:t>
      </w:r>
      <w:r xml:space="preserve">
        <w:t> </w:t>
      </w:r>
      <w:r>
        <w:t xml:space="preserve">8,</w:t>
      </w:r>
      <w:r xml:space="preserve">
        <w:t> </w:t>
      </w:r>
      <w:r>
        <w:t xml:space="preserve">2023, reported favorably by the following vote:</w:t>
      </w:r>
      <w:r>
        <w:t xml:space="preserve"> </w:t>
      </w:r>
      <w:r>
        <w:t xml:space="preserve"> </w:t>
      </w:r>
      <w:r>
        <w:t xml:space="preserve">Yeas 8, Nays 0; May</w:t>
      </w:r>
      <w:r xml:space="preserve">
        <w:t> </w:t>
      </w:r>
      <w:r>
        <w:t xml:space="preserve">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requiring medical clearance before admission to an inpatient mental health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575.001, Health and Safety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 (c), the</w:t>
      </w:r>
      <w:r>
        <w:t xml:space="preserve"> [</w:t>
      </w:r>
      <w:r>
        <w:rPr>
          <w:strike/>
        </w:rPr>
        <w:t xml:space="preserve">The</w:t>
      </w:r>
      <w:r>
        <w:t xml:space="preserve">] facility administrator of an inpatient mental health facility may admit and detain a patient under the procedures prescribed by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patient may not be admitted under Subsection (a) unless the patient has undergone a medical examination that determines that the patient does not have a medical condition that would prevent facility staff from providing care to the patient or other patients.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admission to an inpatient mental health facility on or after the effective date of this Act.  An admission before the effective date of this Act is governed by the law in effect on that date,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