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S.C.R.</w:t>
      </w:r>
      <w:r xml:space="preserve">
        <w:t> </w:t>
      </w:r>
      <w:r>
        <w:t xml:space="preserve">No.</w:t>
      </w:r>
      <w:r xml:space="preserve">
        <w:t> </w:t>
      </w:r>
      <w:r>
        <w:t xml:space="preserve">2</w:t>
      </w:r>
    </w:p>
    <w:p w:rsidR="003F3435" w:rsidRDefault="003F3435"/>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Section 7-c(f), Article VIII, Texas Constitution, provides: </w:t>
      </w:r>
      <w:r>
        <w:t xml:space="preserve"> </w:t>
      </w:r>
      <w:r>
        <w:t xml:space="preserve">"The legislature by adoption of a resolution approved by a record vote of a majority of the members of each house of the legislature may extend, in 10-year increments, the duty of the comptroller of public accounts to make a deposit under Subsection (a) or (b) of this section beyond the applicable date prescribed by Subsection (e) of this section."; and</w:t>
      </w:r>
    </w:p>
    <w:p w:rsidR="003F3435" w:rsidRDefault="0032493E">
      <w:pPr>
        <w:spacing w:line="480" w:lineRule="auto"/>
        <w:ind w:firstLine="720"/>
        <w:jc w:val="both"/>
      </w:pPr>
      <w:r>
        <w:t xml:space="preserve">WHEREAS, Under Section 7-c(e)(1), Article VIII, Texas Constitution, the duty of the comptroller of public accounts under Section 7-c(a) of that article to deposit to the credit of the state highway fund $2.5 billion of the net revenue derived from the imposition of the state sales and use tax on the sale, storage, use, or other consumption in this state of taxable items under Chapter 151, Tax Code, or its successor, that exceeds the first $28 billion of that revenue coming into the treasury in that state fiscal year expires August 31, 2032; and</w:t>
      </w:r>
    </w:p>
    <w:p w:rsidR="003F3435" w:rsidRDefault="0032493E">
      <w:pPr>
        <w:spacing w:line="480" w:lineRule="auto"/>
        <w:ind w:firstLine="720"/>
        <w:jc w:val="both"/>
      </w:pPr>
      <w:r>
        <w:t xml:space="preserve">WHEREAS, Under Section 7-c(e)(2), Article VIII, Texas Constitution, the duty of the comptroller of public accounts under Section 7-c(b) of that article to deposit to the credit of the state highway fund an amount equal to 35 percent of the net revenue derived from the tax authorized by Chapter 152, Tax Code, or its successor, and imposed on the sale, use, or rental of a motor vehicle that exceeds the first $5 billion of that revenue coming into the treasury in that state fiscal year expires August 31, 2029; now, therefore, be it</w:t>
      </w:r>
    </w:p>
    <w:p w:rsidR="003F3435" w:rsidRDefault="0032493E">
      <w:pPr>
        <w:spacing w:line="480" w:lineRule="auto"/>
        <w:ind w:firstLine="720"/>
        <w:jc w:val="both"/>
      </w:pPr>
      <w:r>
        <w:t xml:space="preserve">RESOLVED by the 88th Legislature of the State of Texas, That the duty of the comptroller of public accounts under Section 7-c(a), Article VIII, Texas Constitution, to deposit to the credit of the state highway fund $2.5 billion of the net revenue derived from the imposition of the state sales and use tax on the sale, storage, use, or other consumption in this state of taxable items under Chapter 151, Tax Code, or its successor, that exceeds the first $28 billion of that revenue coming into the treasury in that state fiscal year is extended and expires August 31, 2042; and, be it further</w:t>
      </w:r>
    </w:p>
    <w:p w:rsidR="003F3435" w:rsidRDefault="0032493E">
      <w:pPr>
        <w:spacing w:line="480" w:lineRule="auto"/>
        <w:ind w:firstLine="720"/>
        <w:jc w:val="both"/>
      </w:pPr>
      <w:r>
        <w:t xml:space="preserve">RESOLVED, That the duty of the comptroller of public accounts under Section 7-c(b), Article VIII, Texas Constitution, to deposit to the credit of the state highway fund an amount equal to 35 percent of the net revenue derived from the tax authorized by Chapter 152, Tax Code, or its successor, and imposed on the sale, use, or rental of a motor vehicle that exceeds the first $5 billion of that revenue coming into the treasury in that state fiscal year is extended and expires August 31, 2039; and, be it further</w:t>
      </w:r>
    </w:p>
    <w:p w:rsidR="003F3435" w:rsidRDefault="0032493E">
      <w:pPr>
        <w:spacing w:line="480" w:lineRule="auto"/>
        <w:ind w:firstLine="720"/>
        <w:jc w:val="both"/>
      </w:pPr>
      <w:r>
        <w:t xml:space="preserve">RESOLVED, That this resolution is adopted only if approved by a record vote of a majority of the members of each house of the legislature; and, be it further</w:t>
      </w:r>
    </w:p>
    <w:p w:rsidR="003F3435" w:rsidRDefault="0032493E">
      <w:pPr>
        <w:spacing w:line="480" w:lineRule="auto"/>
        <w:ind w:firstLine="720"/>
        <w:jc w:val="both"/>
      </w:pPr>
      <w:r>
        <w:t xml:space="preserve">RESOLVED, That the secretary of state forward an official copy of this resolution to the comptroller of public accounts.</w:t>
      </w:r>
    </w:p>
    <w:p>
      <w:r>
        <w:br w:type="page"/>
      </w:r>
    </w:p>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p>
    <w:p w:rsidR="003F3435" w:rsidRDefault="0032493E">
      <w:pPr>
        <w:jc w:val="center"/>
        <w:tabs>
          <w:tab w:val="right" w:leader="none" w:pos="9350"/>
        </w:tabs>
      </w:pPr>
      <w:r>
        <w:t xml:space="preserve">President of the Senate</w:t>
      </w:r>
      <w:r xml:space="preserve">
        <w:tab wTab="150" tlc="none" cTlc="0"/>
      </w:r>
      <w:r>
        <w:t xml:space="preserve">Speaker of the House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2 was adopted by the Senate on April</w:t>
      </w:r>
      <w:r xml:space="preserve">
        <w:t> </w:t>
      </w:r>
      <w:r>
        <w:t xml:space="preserve">17,</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2493E">
      <w:pPr>
        <w:jc w:val="right"/>
      </w:pPr>
      <w:r>
        <w:t xml:space="preserve">______________________________</w:t>
      </w:r>
    </w:p>
    <w:p w:rsidR="003F3435" w:rsidRDefault="0032493E">
      <w:pPr>
        <w:ind w:firstLine="5760"/>
        <w:jc w:val="both"/>
      </w:pPr>
      <w:r>
        <w:t xml:space="preserve">Secretary of the Senate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2 was adopted by the House on May</w:t>
      </w:r>
      <w:r xml:space="preserve">
        <w:t> </w:t>
      </w:r>
      <w:r>
        <w:t xml:space="preserve">17,</w:t>
      </w:r>
      <w:r xml:space="preserve">
        <w:t> </w:t>
      </w:r>
      <w:r>
        <w:t xml:space="preserve">2023, by the following vote:</w:t>
      </w:r>
      <w:r xml:space="preserve">
        <w:t> </w:t>
      </w:r>
      <w:r xml:space="preserve">
        <w:t> </w:t>
      </w:r>
      <w:r>
        <w:t xml:space="preserve">Yeas</w:t>
      </w:r>
      <w:r xml:space="preserve">
        <w:t> </w:t>
      </w:r>
      <w:r>
        <w:t xml:space="preserve">144, Nays</w:t>
      </w:r>
      <w:r xml:space="preserve">
        <w:t> </w:t>
      </w:r>
      <w:r>
        <w:t xml:space="preserve">0, one</w:t>
      </w:r>
      <w:r xml:space="preserve">
        <w:t> </w:t>
      </w:r>
      <w:r>
        <w:t xml:space="preserve">present not voting.</w:t>
      </w:r>
    </w:p>
    <w:p w:rsidR="003F3435" w:rsidRDefault="0032493E">
      <w:pPr>
        <w:jc w:val="right"/>
      </w:pPr>
      <w:r>
        <w:t xml:space="preserve">______________________________</w:t>
      </w:r>
    </w:p>
    <w:p w:rsidR="003F3435" w:rsidRDefault="0032493E">
      <w:pPr>
        <w:ind w:firstLine="5760"/>
        <w:jc w:val="both"/>
      </w:pPr>
      <w:r>
        <w:t xml:space="preserve">Chief Clerk of the House</w:t>
      </w:r>
    </w:p>
    <w:p w:rsidR="003F3435" w:rsidRDefault="003F3435"/>
    <w:p w:rsidR="003F3435" w:rsidRDefault="003F3435"/>
    <w:p w:rsidR="003F3435" w:rsidRDefault="0032493E">
      <w:pPr>
        <w:jc w:val="left"/>
      </w:pPr>
      <w:r>
        <w:t xml:space="preserve">Received: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w:t xml:space="preserve">Secretary of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