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Creighton</w:t>
      </w:r>
      <w:r xml:space="preserve">
        <w:tab wTab="150" tlc="none" cTlc="0"/>
      </w:r>
      <w:r>
        <w:t xml:space="preserve">S.C.R.</w:t>
      </w:r>
      <w:r xml:space="preserve">
        <w:t> </w:t>
      </w:r>
      <w:r>
        <w:t xml:space="preserve">No.</w:t>
      </w:r>
      <w:r xml:space="preserve">
        <w:t> </w:t>
      </w:r>
      <w:r>
        <w:t xml:space="preserve">27</w:t>
      </w:r>
    </w:p>
    <w:p w:rsidR="003F3435" w:rsidRDefault="003F3435"/>
    <w:p w:rsidR="003F3435" w:rsidRDefault="003F3435"/>
    <w:p w:rsidR="003F3435" w:rsidRDefault="0032493E">
      <w:pPr>
        <w:spacing w:line="480" w:lineRule="auto"/>
        <w:jc w:val="center"/>
      </w:pPr>
      <w:r>
        <w:t xml:space="preserve">SENATE CONCURRENT RESOLUTION</w:t>
      </w:r>
    </w:p>
    <w:p w:rsidR="003F3435" w:rsidRDefault="0032493E">
      <w:pPr>
        <w:spacing w:line="480" w:lineRule="auto"/>
        <w:ind w:firstLine="720"/>
        <w:jc w:val="both"/>
      </w:pPr>
      <w:r>
        <w:t xml:space="preserve">WHEREAS, The Windfall Elimination Provision was enacted in 1983 to equalize the earned Social Security benefits of workers who spend part of their careers in exempt public service and workers who spend their entire careers participating in social security; and</w:t>
      </w:r>
    </w:p>
    <w:p w:rsidR="003F3435" w:rsidRDefault="0032493E">
      <w:pPr>
        <w:spacing w:line="480" w:lineRule="auto"/>
        <w:ind w:firstLine="720"/>
        <w:jc w:val="both"/>
      </w:pPr>
      <w:r>
        <w:t xml:space="preserve">WHEREAS, The Windfall Elimination Provision reduces the Social Security benefits of public servants who have received a pension that is not subject to Social Security taxes, including thousands of teachers in Texas as well as the spouses and children of these public servants; and</w:t>
      </w:r>
    </w:p>
    <w:p w:rsidR="003F3435" w:rsidRDefault="0032493E">
      <w:pPr>
        <w:spacing w:line="480" w:lineRule="auto"/>
        <w:ind w:firstLine="720"/>
        <w:jc w:val="both"/>
      </w:pPr>
      <w:r>
        <w:t xml:space="preserve">WHEREAS, The flawed application of the Windfall Elimination Provision diminishes Texans' retirement security and fails to recognize their rightfully earned Social Security and public pension benefits; and</w:t>
      </w:r>
    </w:p>
    <w:p w:rsidR="003F3435" w:rsidRDefault="0032493E">
      <w:pPr>
        <w:spacing w:line="480" w:lineRule="auto"/>
        <w:ind w:firstLine="720"/>
        <w:jc w:val="both"/>
      </w:pPr>
      <w:r>
        <w:t xml:space="preserve">WHEREAS, For years, the United States Congress has failed to act to remove this detriment to many citizens of Texas, including teachers; now, therefore, be it</w:t>
      </w:r>
    </w:p>
    <w:p w:rsidR="003F3435" w:rsidRDefault="0032493E">
      <w:pPr>
        <w:spacing w:line="480" w:lineRule="auto"/>
        <w:ind w:firstLine="720"/>
        <w:jc w:val="both"/>
      </w:pPr>
      <w:r>
        <w:t xml:space="preserve">RESOLVED, That the Senate of the 88th Texas Legislature hereby respectfully urge the United States Congress to take swift action to replace the Windfall Elimination Provision with a more fair and just formula that accurately reflects the contributions of all American workers to the Social Security system; and, be it further</w:t>
      </w:r>
    </w:p>
    <w:p w:rsidR="003F3435" w:rsidRDefault="0032493E">
      <w:pPr>
        <w:spacing w:line="480" w:lineRule="auto"/>
        <w:ind w:firstLine="720"/>
        <w:jc w:val="both"/>
      </w:pPr>
      <w:r>
        <w:t xml:space="preserve">RESOLVED, That the secretary of the Senate forward official copies</w:t>
      </w:r>
      <w:r xml:space="preserve">
        <w:t> </w:t>
      </w:r>
      <w:r>
        <w:t xml:space="preserve">of this resolution to the president of the United States, to the president of the Senate and the speaker of the House of Representatives of the United States Congress, and to all the remembers of the Texas delegation to Congress with the request that this resolution be entered in the Congressional Record as a memorial to the Congress of the United States of America.</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S.C.R.</w:t>
    </w:r>
    <w:r xml:space="preserve">
      <w:t> </w:t>
    </w:r>
    <w:r>
      <w:t xml:space="preserve">No.</w:t>
    </w:r>
    <w:r xml:space="preserve">
      <w:t> </w:t>
    </w:r>
    <w:r>
      <w:t xml:space="preserve">27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