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S.C.R.</w:t>
      </w:r>
      <w:r xml:space="preserve">
        <w:t> </w:t>
      </w:r>
      <w:r>
        <w:t xml:space="preserve">No.</w:t>
      </w:r>
      <w:r xml:space="preserve">
        <w:t> </w:t>
      </w:r>
      <w:r>
        <w:t xml:space="preserve">38</w:t>
      </w:r>
    </w:p>
    <w:p w:rsidR="003F3435" w:rsidRDefault="003F3435"/>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State of Texas is home to some of the finest high school coaches in the country, who are committed to helping young Texans reach their full potential in their athletic endeavors and build a strong foundation for future success; and</w:t>
      </w:r>
    </w:p>
    <w:p w:rsidR="003F3435" w:rsidRDefault="0032493E">
      <w:pPr>
        <w:spacing w:line="480" w:lineRule="auto"/>
        <w:ind w:firstLine="720"/>
        <w:jc w:val="both"/>
      </w:pPr>
      <w:r>
        <w:t xml:space="preserve">WHEREAS, Coaches exert a positive influence on the development of young people and serve as role models during students' formative years; in the course of their duties, these educators teach fundamental life lessons and instill important values such as discipline, integrity, respect, teamwork, and good sportsmanship in young competitors; moreover, coaches help establish and maintain the vibrant culture of high school sports, which enriches the educational experience for all students and strengthens the school's connection to the wider community; and</w:t>
      </w:r>
    </w:p>
    <w:p w:rsidR="003F3435" w:rsidRDefault="0032493E">
      <w:pPr>
        <w:spacing w:line="480" w:lineRule="auto"/>
        <w:ind w:firstLine="720"/>
        <w:jc w:val="both"/>
      </w:pPr>
      <w:r>
        <w:t xml:space="preserve">WHEREAS, The individuals who make up the state's secondary school coaching ranks are supported by the Texas High School Coaches Association, an advocacy and leadership organization focused on furthering education and professionalism among its members; formally organized in 1930 as the Texas High School Football Coaches Association, the group sponsored the first coaching school in San Antonio three years later; it assumed its current name in 1941 after opening its doors to coaches in all University Interscholastic League sports; in the decades since, THSCA has grown to more than 25,000 members, making it one of the largest organizations of its kind in the world; and</w:t>
      </w:r>
    </w:p>
    <w:p w:rsidR="003F3435" w:rsidRDefault="0032493E">
      <w:pPr>
        <w:spacing w:line="480" w:lineRule="auto"/>
        <w:ind w:firstLine="720"/>
        <w:jc w:val="both"/>
      </w:pPr>
      <w:r>
        <w:t xml:space="preserve">WHEREAS, Playing an integral role in secondary education, the high school coaches of the Lone Star State are truly deserving of recognition for the positive guidance they provide to students and for furthering the state's proud tradition of athletic excellence; now, therefore, be it</w:t>
      </w:r>
    </w:p>
    <w:p w:rsidR="003F3435" w:rsidRDefault="0032493E">
      <w:pPr>
        <w:spacing w:line="480" w:lineRule="auto"/>
        <w:ind w:firstLine="720"/>
        <w:jc w:val="both"/>
      </w:pPr>
      <w:r>
        <w:t xml:space="preserve">RESOLVED, That the 88th Legislature of the State of Texas hereby designate November 3 as Texas High School Coaches Day and commend all those associated with the Texas High School Coaches Association for their dedicated efforts;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p>
      <w:r>
        <w:br w:type="page"/>
      </w:r>
    </w:p>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p>
    <w:p w:rsidR="003F3435" w:rsidRDefault="0032493E">
      <w:pPr>
        <w:jc w:val="center"/>
        <w:tabs>
          <w:tab w:val="right" w:leader="none" w:pos="9350"/>
        </w:tabs>
      </w:pPr>
      <w:r>
        <w:t xml:space="preserve">President of the Senate</w:t>
      </w:r>
      <w:r xml:space="preserve">
        <w:tab wTab="150" tlc="none" cTlc="0"/>
      </w:r>
      <w:r>
        <w:t xml:space="preserve">Speaker of the House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38 was adopted by the Senate on April 27, 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2493E">
      <w:pPr>
        <w:jc w:val="right"/>
      </w:pPr>
      <w:r>
        <w:t xml:space="preserve">______________________________</w:t>
      </w:r>
    </w:p>
    <w:p w:rsidR="003F3435" w:rsidRDefault="0032493E">
      <w:pPr>
        <w:ind w:firstLine="5760"/>
        <w:jc w:val="both"/>
      </w:pPr>
      <w:r>
        <w:t xml:space="preserve">Secretary of the Senate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38 was adopted by the House on May 8, 2023, by the following vote:</w:t>
      </w:r>
      <w:r xml:space="preserve">
        <w:t> </w:t>
      </w:r>
      <w:r xml:space="preserve">
        <w:t> </w:t>
      </w:r>
      <w:r>
        <w:t xml:space="preserve">Yeas</w:t>
      </w:r>
      <w:r xml:space="preserve">
        <w:t> </w:t>
      </w:r>
      <w:r>
        <w:t xml:space="preserve">140, Nays</w:t>
      </w:r>
      <w:r xml:space="preserve">
        <w:t> </w:t>
      </w:r>
      <w:r>
        <w:t xml:space="preserve">1, one</w:t>
      </w:r>
      <w:r xml:space="preserve">
        <w:t> </w:t>
      </w:r>
      <w:r>
        <w:t xml:space="preserve">present not voting.</w:t>
      </w:r>
    </w:p>
    <w:p w:rsidR="003F3435" w:rsidRDefault="0032493E">
      <w:pPr>
        <w:jc w:val="right"/>
      </w:pPr>
      <w:r>
        <w:t xml:space="preserve">______________________________</w:t>
      </w:r>
    </w:p>
    <w:p w:rsidR="003F3435" w:rsidRDefault="0032493E">
      <w:pPr>
        <w:ind w:firstLine="5760"/>
        <w:jc w:val="both"/>
      </w:pP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