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88R33445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S.C.R.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Senate Joint Resolution No.</w:t>
      </w:r>
      <w:r xml:space="preserve">
        <w:t> </w:t>
      </w:r>
      <w:r>
        <w:t xml:space="preserve">75 has been adopted by the senate and the house of representatives and is being prepared for enrollment; and</w:t>
      </w:r>
    </w:p>
    <w:p w:rsidR="003F3435" w:rsidRDefault="0032493E">
      <w:pPr>
        <w:spacing w:line="480" w:lineRule="auto"/>
        <w:ind w:firstLine="720"/>
        <w:jc w:val="both"/>
      </w:pPr>
      <w:r>
        <w:t xml:space="preserve">WHEREAS, The resolution contains a technical error that should be corrected; now, therefore, be it</w:t>
      </w:r>
    </w:p>
    <w:p w:rsidR="003F3435" w:rsidRDefault="0032493E">
      <w:pPr>
        <w:spacing w:line="480" w:lineRule="auto"/>
        <w:ind w:firstLine="720"/>
        <w:jc w:val="both"/>
      </w:pPr>
      <w:r>
        <w:t xml:space="preserve">RESOLVED by the 88th Legislature of the State of Texas, That the enrolling clerk of the senate be instructed to make the following correction to the enrolled version of Senate Joint Resolution No.</w:t>
      </w:r>
      <w:r xml:space="preserve">
        <w:t> </w:t>
      </w:r>
      <w:r>
        <w:t xml:space="preserve">75:</w:t>
      </w:r>
    </w:p>
    <w:p w:rsidR="003F3435" w:rsidRDefault="0032493E">
      <w:pPr>
        <w:spacing w:line="480" w:lineRule="auto"/>
        <w:ind w:firstLine="720"/>
        <w:jc w:val="both"/>
      </w:pPr>
      <w:r>
        <w:t xml:space="preserve">In SECTION 1 of the resolution, in added Section 49-d-16(b), Article III, Texas Constitution (page 1, line 16), between the underlined period and "</w:t>
      </w:r>
      <w:r>
        <w:rPr>
          <w:u w:val="single"/>
        </w:rPr>
        <w:t xml:space="preserve">The</w:t>
      </w:r>
      <w:r>
        <w:t xml:space="preserve">", insert "</w:t>
      </w:r>
      <w:r>
        <w:rPr>
          <w:u w:val="single"/>
        </w:rPr>
        <w:t xml:space="preserve">Money transferred from the Texas water fund to a fund or account may be spent without further legislative appropriation in the manner provided by general law governing the use of money in the fund or account to which the money was transferred.</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