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certain persons under the age of 18 to vote in a primary election.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 Texas Constitution, is amended by adding Section 1a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The legislature by general law may provide for voting in a primary election by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be 18 years of age or older on the date of the subsequent general election for state and county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other applicable requirements for eligibility to vote.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a person who will be 18 years of age or older on the date of the general election for state and county officers to vote in the preceding primary election."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