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Creighton</w:t>
      </w:r>
      <w:r xml:space="preserve">
        <w:tab wTab="150" tlc="none" cTlc="0"/>
      </w:r>
      <w:r>
        <w:t xml:space="preserve">S.J.R.</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to abolish the office of county treasurer of Galveston County.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 Article XVI, Texas Constitution,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The constitutional amendment proposed by the 88th Legislature, Regular Session, 2023, abolishing the office of County Treasurer in Galveston County takes effect only if, at the statewide election at which the amendment is submitted to and approved by the voters, a majority of the voters of Galveston County voting on the question at that election also favor the amendment. </w:t>
      </w:r>
      <w:r>
        <w:rPr>
          <w:u w:val="single"/>
        </w:rPr>
        <w:t xml:space="preserve"> </w:t>
      </w:r>
      <w:r>
        <w:rPr>
          <w:u w:val="single"/>
        </w:rPr>
        <w:t xml:space="preserve">The amendment takes effect January 1, 2024, if the conditions of this subsection are met.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temporary provision expires January 2,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on November 7, 2023.  The ballot shall be printed to permit voting for or against the proposition: </w:t>
      </w:r>
      <w:r>
        <w:t xml:space="preserve"> </w:t>
      </w:r>
      <w:r>
        <w:t xml:space="preserve">"The constitutional amendment providing for the abolition of the office of county treasurer in Galveston County."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