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S.J.R.</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abolish the office of county treasurer of Galveston County.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 Article XVI,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w:t>
      </w:r>
      <w:r>
        <w:rPr>
          <w:u w:val="single"/>
        </w:rPr>
        <w:t xml:space="preserve"> </w:t>
      </w:r>
      <w:r>
        <w:rPr>
          <w:u w:val="single"/>
        </w:rPr>
        <w:t xml:space="preserve">The amendment takes effect January 1, 2024, if the conditions of this subsection are met.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temporary provision expires January 2,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on November 7, 2023.  The ballot shall be printed to permit voting for or against the proposition: "The constitutional amendment providing for the abolition of the office of county treasurer in Galveston County."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