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Middleton</w:t>
      </w:r>
      <w:r xml:space="preserve">
        <w:tab wTab="150" tlc="none" cTlc="0"/>
      </w:r>
      <w:r>
        <w:t xml:space="preserve">S.J.R.</w:t>
      </w:r>
      <w:r xml:space="preserve">
        <w:t> </w:t>
      </w:r>
      <w:r>
        <w:t xml:space="preserve">No.</w:t>
      </w:r>
      <w:r xml:space="preserve">
        <w:t> </w:t>
      </w:r>
      <w:r>
        <w:t xml:space="preserve">29</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12,</w:t>
      </w:r>
      <w:r xml:space="preserve">
        <w:t> </w:t>
      </w:r>
      <w:r>
        <w:t xml:space="preserve">2023; February</w:t>
      </w:r>
      <w:r xml:space="preserve">
        <w:t> </w:t>
      </w:r>
      <w:r>
        <w:t xml:space="preserve">17,</w:t>
      </w:r>
      <w:r xml:space="preserve">
        <w:t> </w:t>
      </w:r>
      <w:r>
        <w:t xml:space="preserve">2023, read first time and referred to Committee on Education; April</w:t>
      </w:r>
      <w:r xml:space="preserve">
        <w:t> </w:t>
      </w:r>
      <w:r>
        <w:t xml:space="preserve">11,</w:t>
      </w:r>
      <w:r xml:space="preserve">
        <w:t> </w:t>
      </w:r>
      <w:r>
        <w:t xml:space="preserve">2023, reported adversely, with favorable Committee Substitute by the following vote:</w:t>
      </w:r>
      <w:r>
        <w:t xml:space="preserve"> </w:t>
      </w:r>
      <w:r>
        <w:t xml:space="preserve"> </w:t>
      </w:r>
      <w:r>
        <w:t xml:space="preserve">Yeas 9, Nays 2; April</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S.J.R.</w:t>
      </w:r>
      <w:r xml:space="preserve">
        <w:t> </w:t>
      </w:r>
      <w:r>
        <w:t xml:space="preserve">No.</w:t>
      </w:r>
      <w:r xml:space="preserve">
        <w:t> </w:t>
      </w:r>
      <w:r>
        <w:t xml:space="preserve">29</w:t>
      </w:r>
      <w:r xml:space="preserve">
        <w:tab wTab="150" tlc="none" cTlc="0"/>
      </w:r>
      <w:r>
        <w:t xml:space="preserve">By:</w:t>
      </w:r>
      <w:r xml:space="preserve">
        <w:t> </w:t>
      </w:r>
      <w:r xml:space="preserve">
        <w:t> </w:t>
      </w:r>
      <w:r>
        <w:t xml:space="preserve">Bettencourt</w:t>
      </w:r>
    </w:p>
    <w:p w:rsidR="003F3435" w:rsidRDefault="003F3435"/>
    <w:p w:rsidR="003F3435" w:rsidRDefault="0032493E">
      <w:pPr>
        <w:spacing w:line="480" w:lineRule="auto"/>
        <w:jc w:val="center"/>
      </w:pPr>
      <w:r>
        <w:t xml:space="preserve">SENATE JOINT RESOLUTION</w:t>
      </w:r>
    </w:p>
    <w:p w:rsidR="003F3435" w:rsidRDefault="003F3435"/>
    <w:p w:rsidR="003F3435" w:rsidRDefault="0032493E">
      <w:pPr>
        <w:spacing w:line="480" w:lineRule="auto"/>
        <w:jc w:val="both"/>
      </w:pPr>
      <w:r>
        <w:t xml:space="preserve">proposing a constitutional amendment establishing a parent's right to direct a child's education.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 Texas Constitution, is amended by adding Section 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 </w:t>
      </w:r>
      <w:r>
        <w:rPr>
          <w:u w:val="single"/>
        </w:rPr>
        <w:t xml:space="preserve"> </w:t>
      </w:r>
      <w:r>
        <w:rPr>
          <w:u w:val="single"/>
        </w:rPr>
        <w:t xml:space="preserve">(a) </w:t>
      </w:r>
      <w:r>
        <w:rPr>
          <w:u w:val="single"/>
        </w:rPr>
        <w:t xml:space="preserve"> </w:t>
      </w:r>
      <w:r>
        <w:rPr>
          <w:u w:val="single"/>
        </w:rPr>
        <w:t xml:space="preserve">In this section, "parent" means a natural parent, stepparent, adoptive parent, legal guardian, or other legal custodian of a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parent has the right to direct the education of the parent's child, including the right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reasonable choices within the public school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choose an alternative to public education, such as a private school, including a parochial school or home school;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access and view public school teaching materials, textbooks and other instructional materials, and library books;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attend meetings of the governing body of a public school;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access public school student records for the parent's child, including the child's student health records.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rights described by Subsection (b) of this section may not be denied or restricted because the parent or the child is an individual with a disability.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legislature by general law may provide for processes to ensure that the rights described by Subsection (b) of this section are upheld.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establishing a parent's right to direct a child's education."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C.S.S.J.R.</w:t>
    </w:r>
    <w:r xml:space="preserve">
      <w:t> </w:t>
    </w:r>
    <w:r>
      <w:t xml:space="preserve">No.</w:t>
    </w:r>
    <w:r xml:space="preserve">
      <w:t> </w:t>
    </w:r>
    <w:r>
      <w:t xml:space="preserve">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