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88R6335 JON-D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S.J.R.</w:t>
      </w:r>
      <w:r xml:space="preserve">
        <w:t> </w:t>
      </w:r>
      <w:r>
        <w:t xml:space="preserve">No.</w:t>
      </w:r>
      <w:r xml:space="preserve">
        <w:t> </w:t>
      </w:r>
      <w:r>
        <w:t xml:space="preserve">33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require that future constitutional amendments become effective only if approved by a majority of the voters in at least three-fourths of the counties of the state.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1(c), Article XVII,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The election shall be held in accordance with procedures prescribed by the Legislature, and the returning officer in each county shall make returns to the Secretary of State of the number of legal votes cast at the election for and against each amendment.  If it appears from the returns that </w:t>
      </w:r>
      <w:r>
        <w:rPr>
          <w:u w:val="single"/>
        </w:rPr>
        <w:t xml:space="preserve">in at least three-fourths of the counties in this state</w:t>
      </w:r>
      <w:r>
        <w:t xml:space="preserve"> a majority of the votes cast have been cast in favor of an amendment, it shall become a part of this Constitution, and proclamation thereof shall be made by the Governor.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Regular Session, 2023, relating to requiring that future constitutional amendments become effective only if approved by a majority of the voters in at least three-fourths of the counties of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1(c), Article XVII, of this constitution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 and applies only to another proposed constitutional amendment for which the election to approve the amendment is held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to require that future constitutional amendments become effective only if approved by a majority of the voters in at least three-fourths of the counties of the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