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S.J.R.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permit additional uses of certain dedicated general revenue transferred each fiscal year to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49-g(c), Article 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w:t>
      </w:r>
      <w:r xml:space="preserve">
        <w:t> </w:t>
      </w:r>
      <w:r xml:space="preserve">
        <w:t> </w:t>
      </w:r>
      <w:r>
        <w:t xml:space="preserve">Revenue transferred to the state highway fund under this subsection may be used only for constructing, maintaining, and acquiring rights-of-way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public roadways other than toll roads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transportation;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bicycle paths;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sidewalks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permit additional uses of certain dedicated general revenue transferred each fiscal year to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