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88R30092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44</w:t>
      </w:r>
    </w:p>
    <w:p w:rsidR="003F3435" w:rsidRDefault="0032493E">
      <w:pPr>
        <w:ind w:firstLine="720"/>
        <w:jc w:val="both"/>
      </w:pPr>
      <w:r>
        <w:t xml:space="preserve">(Smith)</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44:</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C.S.S.J.R.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some circumstances to a person accused of certain violent or sexual offenses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that are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major offense may be denied bail pending trial if a judge or magistrate determines by clear and convincing evidence after a hearing that bail and conditions of release are insufficient to reasonably manage a specific risk: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person's wilful nonappearance in court in violation of a requirement;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may not deny a person bail under this section except after a hearing held not later than 72 hours after the person's arrest. </w:t>
      </w:r>
      <w:r>
        <w:rPr>
          <w:u w:val="single"/>
        </w:rPr>
        <w:t xml:space="preserve"> </w:t>
      </w:r>
      <w:r>
        <w:rPr>
          <w:u w:val="single"/>
        </w:rPr>
        <w:t xml:space="preserve">The judge or magistrate shall appoint counsel to represent the person at the hearing if counsel does not enter an appearance to represent the person before the hearing. </w:t>
      </w:r>
      <w:r>
        <w:rPr>
          <w:u w:val="single"/>
        </w:rPr>
        <w:t xml:space="preserve"> </w:t>
      </w:r>
      <w:r>
        <w:rPr>
          <w:u w:val="single"/>
        </w:rPr>
        <w:t xml:space="preserve">A hearing is not required under this subsection to release a person on bail.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presentation of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 and apply those factors to the particularized facts and circumstances of the offense and any criminal episode during which the offense occurred.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"major offense"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murder, if the person intentionally or knowingly caused the death of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aggravated assault, if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or exhibited a deadly weapon during the commission of the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assaults an individual the person knows is a public servant: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public servant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wearing a distinctive uniform or badge indicating the person's employment as a public servant;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as a public servant;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aggravated sexual assault, if the person used or exhibited a deadly weapon during the commission of the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aggravated robbery, if the person used or exhibited a deadly weapon during the commission of the robbery;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continuous trafficking of persons.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the denial of bail under some circumstances to a person accused of certain violent or sexual offenses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