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88R11319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S.J.R.</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a person's inventory.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(d) and adding Subsection (g-1) to read as follows:</w:t>
      </w:r>
    </w:p>
    <w:p w:rsidR="003F3435" w:rsidRDefault="0032493E">
      <w:pPr>
        <w:spacing w:line="480" w:lineRule="auto"/>
        <w:ind w:firstLine="720"/>
        <w:jc w:val="both"/>
      </w:pPr>
      <w:r>
        <w:t xml:space="preserve">(d)</w:t>
      </w:r>
      <w:r xml:space="preserve">
        <w:t> </w:t>
      </w:r>
      <w:r xml:space="preserve">
        <w:t> </w:t>
      </w:r>
      <w:r>
        <w:t xml:space="preserve">The Legislature by general law shall exempt from ad valorem taxation household goods not held or used for the production of income and personal effects not held or used for the production of income.  The Legislature by general law may exempt from ad valorem taxation:</w:t>
      </w:r>
    </w:p>
    <w:p w:rsidR="003F3435" w:rsidRDefault="0032493E">
      <w:pPr>
        <w:spacing w:line="480" w:lineRule="auto"/>
        <w:ind w:firstLine="1440"/>
        <w:jc w:val="both"/>
      </w:pPr>
      <w:r>
        <w:t xml:space="preserve">(1)</w:t>
      </w:r>
      <w:r xml:space="preserve">
        <w:t> </w:t>
      </w:r>
      <w:r xml:space="preserve">
        <w:t> </w:t>
      </w:r>
      <w:r>
        <w:t xml:space="preserve">all or part of the personal property homestead of a family or single adult, "personal property homestead" meaning that personal property exempt by law from forced sale for debt;</w:t>
      </w:r>
    </w:p>
    <w:p w:rsidR="003F3435" w:rsidRDefault="0032493E">
      <w:pPr>
        <w:spacing w:line="480" w:lineRule="auto"/>
        <w:ind w:firstLine="1440"/>
        <w:jc w:val="both"/>
      </w:pPr>
      <w:r>
        <w:t xml:space="preserve">(2)</w:t>
      </w:r>
      <w:r xml:space="preserve">
        <w:t> </w:t>
      </w:r>
      <w:r xml:space="preserve">
        <w:t> </w:t>
      </w:r>
      <w:r>
        <w:t xml:space="preserve">subject to Subsections (e)</w:t>
      </w:r>
      <w:r>
        <w:rPr>
          <w:u w:val="single"/>
        </w:rPr>
        <w:t xml:space="preserve">,</w:t>
      </w:r>
      <w:r>
        <w:t xml:space="preserve"> [</w:t>
      </w:r>
      <w:r>
        <w:rPr>
          <w:strike/>
        </w:rPr>
        <w:t xml:space="preserve">and</w:t>
      </w:r>
      <w:r>
        <w:t xml:space="preserve">] (g)</w:t>
      </w:r>
      <w:r>
        <w:rPr>
          <w:u w:val="single"/>
        </w:rPr>
        <w:t xml:space="preserve">, and (g-1)</w:t>
      </w:r>
      <w:r>
        <w:t xml:space="preserve"> of this section, all other tangible personal property, except structures which are substantially affixed to real estate and are used or occupied as residential dwellings and except property held or used for the production of income;</w:t>
      </w:r>
    </w:p>
    <w:p w:rsidR="003F3435" w:rsidRDefault="0032493E">
      <w:pPr>
        <w:spacing w:line="480" w:lineRule="auto"/>
        <w:ind w:firstLine="1440"/>
        <w:jc w:val="both"/>
      </w:pPr>
      <w:r>
        <w:t xml:space="preserve">(3)</w:t>
      </w:r>
      <w:r xml:space="preserve">
        <w:t> </w:t>
      </w:r>
      <w:r xml:space="preserve">
        <w:t> </w:t>
      </w:r>
      <w:r>
        <w:t xml:space="preserve">subject to Subsection (e) of this section, a leased motor vehicle that is not held primarily for the production of income by the lessee and that otherwise qualifies under general law for exemption; and</w:t>
      </w:r>
    </w:p>
    <w:p w:rsidR="003F3435" w:rsidRDefault="0032493E">
      <w:pPr>
        <w:spacing w:line="480" w:lineRule="auto"/>
        <w:ind w:firstLine="1440"/>
        <w:jc w:val="both"/>
      </w:pPr>
      <w:r>
        <w:t xml:space="preserve">(4)</w:t>
      </w:r>
      <w:r xml:space="preserve">
        <w:t> </w:t>
      </w:r>
      <w:r xml:space="preserve">
        <w:t> </w:t>
      </w:r>
      <w:r>
        <w:t xml:space="preserve">one motor vehicle, as defined by general law, owned by an individual that is used in the course of the individual's occupation or profession and is also used for personal activities of the owner that do not involve the production of income.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Legislature by general law may exempt from ad valorem taxation a person's inventory, as defined by general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a person's inventory."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