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State Affairs; March</w:t>
      </w:r>
      <w:r xml:space="preserve">
        <w:t> </w:t>
      </w:r>
      <w:r>
        <w:t xml:space="preserve">23,</w:t>
      </w:r>
      <w:r xml:space="preserve">
        <w:t> </w:t>
      </w:r>
      <w:r>
        <w:t xml:space="preserve">2023, reported favorably by the following vote:</w:t>
      </w:r>
      <w:r>
        <w:t xml:space="preserve"> </w:t>
      </w:r>
      <w:r>
        <w:t xml:space="preserve"> </w:t>
      </w:r>
      <w:r>
        <w:t xml:space="preserve">Yeas 11,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regarding the powers of the governor, the legislature, and the supreme court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 when the Governor proposes to renew an order or proclamation declaring a state of disaster or emergency or issue a new order or proclamation regarding the same state of disaster or emergency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at least two-fifths of the counties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at least half of this state's population according to the most recent federal decennial census;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at least two-thirds of the counties in each of three or more trauma service areas in this state, as designated by the appropriate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renew or extend the state of disaster or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enacting laws and adopting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subject stated in the Governor's proclamation convening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of this section, a state of disaster or emergency declared by the Governor that is subject to Subsection (c) of this section may not continue for more than 30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of disaster or emergency declared by the Governor that is subject to Subsection (c) of this section and that is related to a nuclear or radiological event recognized by the federal agency with primary authority for federal response to that event may not continue for more than 90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vote under Subsection (d) of this section to modify or terminate a proclamation or order issued by the Governor declaring a state of disaster or emergency is not subject to Section 15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Article V, Texas Constitution,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w:t>
      </w:r>
      <w:r>
        <w:rPr>
          <w:strike/>
        </w:rPr>
        <w:t xml:space="preserve">said</w:t>
      </w:r>
      <w:r>
        <w:t xml:space="preserve">] courts and the Justices thereof may issue the writs of mandamus, procedendo, certiorari and such other writs, as may be necessary to enforce its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of this section, the</w:t>
      </w:r>
      <w:r>
        <w:t xml:space="preserve"> [</w:t>
      </w:r>
      <w:r>
        <w:rPr>
          <w:strike/>
        </w:rPr>
        <w:t xml:space="preserve">The</w:t>
      </w:r>
      <w:r>
        <w:t xml:space="preserve">] Legislature may confer original jurisdiction on the Supreme Court to issue writs of quo warranto and mandamus in such cases as may be specified, except as against the Governor [</w:t>
      </w:r>
      <w:r>
        <w:rPr>
          <w:strike/>
        </w:rPr>
        <w:t xml:space="preserve">of the State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of the Legislature has standing to participate as a party in a suit against the Governor for a violation of the duty imposed by Section 8(c), Article IV, of this constitution.  The Supreme Court has original jurisdiction of a suit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regarding the powers of the governor, the legislature, and the supreme court following certain disaster or emergency declarations."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