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88R2411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consider legislation on any subject during a special session.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 Article III, Texas Constitution, is amended to read as follows:</w:t>
      </w:r>
    </w:p>
    <w:p w:rsidR="003F3435" w:rsidRDefault="0032493E">
      <w:pPr>
        <w:spacing w:line="480" w:lineRule="auto"/>
        <w:ind w:firstLine="720"/>
        <w:jc w:val="both"/>
      </w:pPr>
      <w:r>
        <w:t xml:space="preserve">Sec.</w:t>
      </w:r>
      <w:r xml:space="preserve">
        <w:t> </w:t>
      </w:r>
      <w:r>
        <w:t xml:space="preserve">40.</w:t>
      </w:r>
      <w:r xml:space="preserve">
        <w:t> </w:t>
      </w:r>
      <w:r xml:space="preserve">
        <w:t> </w:t>
      </w:r>
      <w:r>
        <w:rPr>
          <w:u w:val="single"/>
        </w:rPr>
        <w:t xml:space="preserve">(a)</w:t>
      </w:r>
      <w:r>
        <w:t xml:space="preserve"> </w:t>
      </w:r>
      <w:r>
        <w:t xml:space="preserve"> </w:t>
      </w:r>
      <w:r>
        <w:t xml:space="preserve">When the </w:t>
      </w:r>
      <w:r>
        <w:rPr>
          <w:u w:val="single"/>
        </w:rPr>
        <w:t xml:space="preserve">legislature is</w:t>
      </w:r>
      <w:r>
        <w:t xml:space="preserve"> [</w:t>
      </w:r>
      <w:r>
        <w:rPr>
          <w:strike/>
        </w:rPr>
        <w:t xml:space="preserve">Legislature shall be</w:t>
      </w:r>
      <w:r>
        <w:t xml:space="preserve">] convened in </w:t>
      </w:r>
      <w:r>
        <w:rPr>
          <w:u w:val="single"/>
        </w:rPr>
        <w:t xml:space="preserve">a</w:t>
      </w:r>
      <w:r>
        <w:t xml:space="preserve"> special session, </w:t>
      </w:r>
      <w:r>
        <w:rPr>
          <w:u w:val="single"/>
        </w:rPr>
        <w:t xml:space="preserve">the legislature may consider</w:t>
      </w:r>
      <w:r>
        <w:t xml:space="preserve"> [</w:t>
      </w:r>
      <w:r>
        <w:rPr>
          <w:strike/>
        </w:rPr>
        <w:t xml:space="preserve">there shall be no</w:t>
      </w:r>
      <w:r>
        <w:t xml:space="preserve">] legislation </w:t>
      </w:r>
      <w:r>
        <w:rPr>
          <w:u w:val="single"/>
        </w:rPr>
        <w:t xml:space="preserve">on any subject, including the</w:t>
      </w:r>
      <w:r>
        <w:t xml:space="preserve"> [</w:t>
      </w:r>
      <w:r>
        <w:rPr>
          <w:strike/>
        </w:rPr>
        <w:t xml:space="preserve">upon</w:t>
      </w:r>
      <w:r>
        <w:t xml:space="preserve">] subjects [</w:t>
      </w:r>
      <w:r>
        <w:rPr>
          <w:strike/>
        </w:rPr>
        <w:t xml:space="preserve">other than those</w:t>
      </w:r>
      <w:r>
        <w:t xml:space="preserve">] designated in the proclamation of the </w:t>
      </w:r>
      <w:r>
        <w:rPr>
          <w:u w:val="single"/>
        </w:rPr>
        <w:t xml:space="preserve">governor</w:t>
      </w:r>
      <w:r>
        <w:t xml:space="preserve"> [</w:t>
      </w:r>
      <w:r>
        <w:rPr>
          <w:strike/>
        </w:rPr>
        <w:t xml:space="preserve">Governor</w:t>
      </w:r>
      <w:r>
        <w:t xml:space="preserve">] calling </w:t>
      </w:r>
      <w:r>
        <w:rPr>
          <w:u w:val="single"/>
        </w:rPr>
        <w:t xml:space="preserve">the</w:t>
      </w:r>
      <w:r>
        <w:t xml:space="preserve"> [</w:t>
      </w:r>
      <w:r>
        <w:rPr>
          <w:strike/>
        </w:rPr>
        <w:t xml:space="preserve">such</w:t>
      </w:r>
      <w:r>
        <w:t xml:space="preserve">] session, or presented to </w:t>
      </w:r>
      <w:r>
        <w:rPr>
          <w:u w:val="single"/>
        </w:rPr>
        <w:t xml:space="preserve">the legislature</w:t>
      </w:r>
      <w:r>
        <w:t xml:space="preserve"> [</w:t>
      </w:r>
      <w:r>
        <w:rPr>
          <w:strike/>
        </w:rPr>
        <w:t xml:space="preserve">them</w:t>
      </w:r>
      <w:r>
        <w:t xml:space="preserve">] by the </w:t>
      </w:r>
      <w:r>
        <w:rPr>
          <w:u w:val="single"/>
        </w:rPr>
        <w:t xml:space="preserve">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special</w:t>
      </w:r>
      <w:r>
        <w:t xml:space="preserve"> [</w:t>
      </w:r>
      <w:r>
        <w:rPr>
          <w:strike/>
        </w:rPr>
        <w:t xml:space="preserve">Governor; and no such</w:t>
      </w:r>
      <w:r>
        <w:t xml:space="preserve">] session shall be of longer duration than thirty days.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consider legislation on any subject during a special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