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88R14815 JRJ-D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S.J.R.</w:t>
      </w:r>
      <w:r xml:space="preserve">
        <w:t> </w:t>
      </w:r>
      <w:r>
        <w:t xml:space="preserve">No.</w:t>
      </w:r>
      <w:r xml:space="preserve">
        <w:t> </w:t>
      </w:r>
      <w:r>
        <w:t xml:space="preserve">71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requiring the governor to call the legislature into special session following certain disaster or emergency declarations and specifying the powers of the legislature in those special sessions.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 Article IV, Texas Constitution,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convene the Legislature in special session for the purposes described by Subsection (d)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a state of disaster or emergency declared by the Governor continues for more than 21 days;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w:t>
      </w:r>
      <w:r>
        <w:rPr>
          <w:u w:val="single"/>
        </w:rPr>
        <w:t xml:space="preserve"> </w:t>
      </w:r>
      <w:r>
        <w:rPr>
          <w:u w:val="single"/>
        </w:rPr>
        <w:t xml:space="preserve">receipt of a petition from any member of the Legislature requesting legislative review of a state of disaster or emergency declared by the Governor if the petition is signed by at least two-thirds of the members of the house of representatives and at least two-thirds of the members of the senate.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 special session convened under Subsection (c) of this section, the Legislature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an order, proclamation, or other instrument issued by the Governor during the 90 days before the special session begins: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declaring a state of disaster or emergency in this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response to a state of disaster or emergency in this state declared by any federal, state, or local official or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terminate or modify an order, proclamation, or other instrument described by Subdivision (1) of this subsection by passage of a resolution approved by majority vote of the members present in each house of the Legislature, which is not subject to Section 15, Article IV, of this constitution;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respond to the state of disaster or emergency, including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passing laws and resolutions the Legislature determines are related to the state of disaster or emergency;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exercising the powers reserved to the Legislature under Section 28, Article I, of this constitution;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consider any other subjects stated in the Governor's proclamation convening the Legislature.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requiring the governor to call the legislature into special session following certain disaster or emergency declarations and specifying the powers of the legislature in those special sessions."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