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providing for the creation of the centennial parks conservation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49-e-1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49-e-1.</w:t>
      </w:r>
      <w:r>
        <w:rPr>
          <w:u w:val="single"/>
        </w:rPr>
        <w:t xml:space="preserve"> </w:t>
      </w:r>
      <w:r>
        <w:rPr>
          <w:u w:val="single"/>
        </w:rPr>
        <w:t xml:space="preserve"> </w:t>
      </w:r>
      <w:r>
        <w:rPr>
          <w:u w:val="single"/>
        </w:rPr>
        <w:t xml:space="preserve">(a) </w:t>
      </w:r>
      <w:r>
        <w:rPr>
          <w:u w:val="single"/>
        </w:rPr>
        <w:t xml:space="preserve"> </w:t>
      </w:r>
      <w:r>
        <w:rPr>
          <w:u w:val="single"/>
        </w:rPr>
        <w:t xml:space="preserve">The centennial parks conservation fund is established as a trust fund outside the treasury. </w:t>
      </w:r>
      <w:r>
        <w:rPr>
          <w:u w:val="single"/>
        </w:rPr>
        <w:t xml:space="preserve"> </w:t>
      </w:r>
      <w:r>
        <w:rPr>
          <w:u w:val="single"/>
        </w:rPr>
        <w:t xml:space="preserve">In accordance with general law, the fund may be used only for the creation and improvement of state parks.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centennial parks conservation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received by the Parks and Wildlife Department or the department's successor in function for a purpose for which money in the fund may be used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centennial parks conservation fund to the Parks and Wildlife Department or the department's successor in function for the purposes prescribed for the fund by this section and general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centennial parks conservation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reasonable expenses of managing the fund and its assets shall be paid from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w:t>
      </w:r>
      <w:r>
        <w:t xml:space="preserve"> </w:t>
      </w:r>
      <w:r>
        <w:t xml:space="preserve">The ballot shall be printed to permit voting for or against the proposition: "The constitutional amendment providing for the creation of the centennial parks conservation fund to be used for the creation and improvement of state parks."</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74 was adopted by the Senate on April</w:t>
      </w:r>
      <w:r xml:space="preserve">
        <w:t> </w:t>
      </w:r>
      <w:r>
        <w:t xml:space="preserve">20,</w:t>
      </w:r>
      <w:r xml:space="preserve">
        <w:t> </w:t>
      </w:r>
      <w:r>
        <w:t xml:space="preserve">2023, by the following vote:  Yeas</w:t>
      </w:r>
      <w:r xml:space="preserve">
        <w:t> </w:t>
      </w:r>
      <w:r>
        <w:t xml:space="preserve">26, Nays</w:t>
      </w:r>
      <w:r xml:space="preserve">
        <w:t> </w:t>
      </w:r>
      <w:r>
        <w:t xml:space="preserve">3; and that the Senate concurred in House amendments on May</w:t>
      </w:r>
      <w:r xml:space="preserve">
        <w:t> </w:t>
      </w:r>
      <w:r>
        <w:t xml:space="preserve">21,</w:t>
      </w:r>
      <w:r xml:space="preserve">
        <w:t> </w:t>
      </w:r>
      <w:r>
        <w:t xml:space="preserve">2023,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74 was adopted by the House, with amendments, on May</w:t>
      </w:r>
      <w:r xml:space="preserve">
        <w:t> </w:t>
      </w:r>
      <w:r>
        <w:t xml:space="preserve">15,</w:t>
      </w:r>
      <w:r xml:space="preserve">
        <w:t> </w:t>
      </w:r>
      <w:r>
        <w:t xml:space="preserve">2023, by the following vote:  Yeas</w:t>
      </w:r>
      <w:r xml:space="preserve">
        <w:t> </w:t>
      </w:r>
      <w:r>
        <w:t xml:space="preserve">123, Nays</w:t>
      </w:r>
      <w:r xml:space="preserve">
        <w:t> </w:t>
      </w:r>
      <w:r>
        <w:t xml:space="preserve">21,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