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7,</w:t>
      </w:r>
      <w:r xml:space="preserve">
        <w:t> </w:t>
      </w:r>
      <w:r>
        <w:t xml:space="preserve">2023, read first time and referred to Committee on Water, Agriculture &amp; Rural Affairs; March</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75</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creating the Texas water fund to assist in financing water projects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Texas water fund is created as a special fund in the state treasury outside the general revenue fund. </w:t>
      </w:r>
      <w:r>
        <w:rPr>
          <w:u w:val="single"/>
        </w:rPr>
        <w:t xml:space="preserve"> </w:t>
      </w:r>
      <w:r>
        <w:rPr>
          <w:u w:val="single"/>
        </w:rPr>
        <w:t xml:space="preserve">The fund is administered by the Texas Water Development Board or by that board's successor in function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the Texas water fund may use the fund only to transfer money to other funds or accounts administered by the Texas Water Development Board or that board's successor in function.  The administrator may restore to the fund money transferred from the fund and deposited to the credit of another fund or account. </w:t>
      </w:r>
      <w:r>
        <w:rPr>
          <w:u w:val="single"/>
        </w:rPr>
        <w:t xml:space="preserve"> </w:t>
      </w:r>
      <w:r>
        <w:rPr>
          <w:u w:val="single"/>
        </w:rPr>
        <w:t xml:space="preserve">Legislative appropriation is not required for the administrator to restore money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water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authorized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redeposit of money transferred from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money from the Texas water fund may be used, subject to the limitations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may provide for costs of investment of the Texas water fund to be paid from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Texas water fund to assist in financing water projects in this state."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