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S.J.R.</w:t>
      </w:r>
      <w:r xml:space="preserve">
        <w:t> </w:t>
      </w:r>
      <w:r>
        <w:t xml:space="preserve">No.</w:t>
      </w:r>
      <w:r xml:space="preserve">
        <w:t> </w:t>
      </w:r>
      <w:r>
        <w:t xml:space="preserve">81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21,</w:t>
      </w:r>
      <w:r xml:space="preserve">
        <w:t> </w:t>
      </w:r>
      <w:r>
        <w:t xml:space="preserve">2023, read first time and referred to Subcommittee on Higher Education; April</w:t>
      </w:r>
      <w:r xml:space="preserve">
        <w:t> </w:t>
      </w:r>
      <w:r>
        <w:t xml:space="preserve">6,</w:t>
      </w:r>
      <w:r xml:space="preserve">
        <w:t> </w:t>
      </w:r>
      <w:r>
        <w:t xml:space="preserve">2023, reported favorably from Committee on Education by the following vote:</w:t>
      </w:r>
      <w:r>
        <w:t xml:space="preserve"> </w:t>
      </w:r>
      <w:r>
        <w:t xml:space="preserve"> </w:t>
      </w:r>
      <w:r>
        <w:t xml:space="preserve">Yeas 13, Nays 0;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providing for the creation of the technical institution infrastructure fund and the available workforce education fund to support the capital needs of career and technical education programs offered by the Texas State Technical College System.</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 Texas Constitution, is amended by adding Section 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w:t>
      </w:r>
      <w:r>
        <w:rPr>
          <w:u w:val="single"/>
        </w:rPr>
        <w:t xml:space="preserve"> </w:t>
      </w:r>
      <w:r>
        <w:rPr>
          <w:u w:val="single"/>
        </w:rPr>
        <w:t xml:space="preserve"> </w:t>
      </w:r>
      <w:r>
        <w:rPr>
          <w:u w:val="single"/>
        </w:rPr>
        <w:t xml:space="preserve">(a)  The technical institution infrastructure fund and the available workforce education fund are established as special funds in the state treasury for the purpose of providing funding for capital projects and equipment purchases related to career and technical education programs offered by the Texas State Technical College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technical institution infrastructure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or deposited to the credit of the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interest or other earnings attributable to the investment of money in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available workforce education fund consists of money distributed to the fund from the technical institution infrastructure fund as provided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regents of the Texas State Technical College System shall administer the technical institution infrastructure fund, which shall be invested in the manner and according to the standards provided for investment of the permanent university fund.  The expenses of managing the investments of the fund shall be paid from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legislature may not appropriate money from the technical institution infrastructure fund for any purpose.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each state fiscal year, the board of regents of the Texas State Technical College System shall distribute an amount from the interest and other earnings attributable to the investment of money in the technical institution infrastructure fund to the available workforce education fund for purposes of this section.  The amount of the distribution: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equal to the amount necessary to pay the principal and interest due for that fiscal year on bonds and notes issued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determined in a manner intended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provide the available workforce education fund with a stable and predictable stream of annual distributions;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maintain over time the purchasing power of the technical institution infrastructure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Subdivision (1)(A) of this subsection, may not exceed: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purchasing power of the technical institution infrastructure fund for any rolling 10-year period is not preserved, the amount distributed for the preceding state fiscal year until the purchasing power of the fund is restored;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seven percent of the average net fair market value of the investment assets of the technical institution infrastructure fund, as determined by the board of regents.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Subsection (h) of this section, the board of regents of the Texas State Technical College System may issue bonds and notes in a total amount not to exceed 30 percent of the cost value of the investments and other assets of the technical institution infrastructure fund, other than real estate, at the time of issuance, and may pledge all or any part of the system's interest in the available workforce education fund to secure the payment of principal and interest of those bonds and notes, for the purpose of supporting the system administration and career and technical education programs offered by component institutions of the system.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Bonds and notes may be issued under Subsection (g) of this section only for the purpose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acquiring land, either with or without permanent improvements;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constructing and equipping buildings or other permanent improvements;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major repair and rehabilitation of buildings and other permanent improvements;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acquiring capital equipment, including instructional equipment, virtual reality or augmented reality equipment, heavy industrial equipment, and vehicles;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acquiring library books and materials, including digital or electronic library books and materials;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refunding bonds or notes issued under this section or prior law.</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total amount of the annual distribution from the technical institution infrastructure fund to the available workforce education fund is appropriated to the board of regents of the Texas State Technical College System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payment of the principal and interest due on the bonds and notes issued by the board of regents under this section and prior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any money remains after the payment of principal and interest under Subdivision (1) of this subsection, a purpose described by Subsection (h) of this section for the support of the system administration and career and technical education programs offered by component institutions of the system.</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bonds and notes issued under this section shall be payable solely out of the available workforce education fund, mature serially or otherwise in not more than 30 years from the date of issuance, and, except for refunding bonds, be sold only through competitive biddings.  Each bond or note is subject to approval by the attorney general and, when so approved, is incontestable.  Money in the technical institution infrastructure fund may be invested in these bonds and notes.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Money appropriated under Subsection (i) of this section that is not spent during the state fiscal year for which the appropriation is made is retained by the Texas State Technical College System and may be spent in a subsequent state fiscal year for a purpose for which the appropriation was made.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Texas State Technical College System may not receive money from the general revenue fund for a purpose for which the board of regents of the system may issue bonds or notes under this section,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case of fire, natural disaster, or man-made disaster, the legislature by majority vote of the membership of each house may appropriate to the system from the general revenue fund an amount sufficient to replace the uninsured loss of a building or other permanent improvement;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legislature by two-thirds vote of the membership of each house may, in cases of demonstrated need clearly expressed in the act, appropriate to the system money from the general revenue fund for a purpose for which the board of regents of the system may issue bonds or notes under this section.</w:t>
      </w:r>
    </w:p>
    <w:p w:rsidR="003F3435" w:rsidRDefault="0032493E">
      <w:pPr>
        <w:spacing w:line="480" w:lineRule="auto"/>
        <w:ind w:firstLine="720"/>
        <w:jc w:val="both"/>
      </w:pPr>
      <w:r>
        <w:rPr>
          <w:u w:val="single"/>
        </w:rPr>
        <w:t xml:space="preserve">(l-1)</w:t>
      </w:r>
      <w:r>
        <w:rPr>
          <w:u w:val="single"/>
        </w:rPr>
        <w:t xml:space="preserve"> </w:t>
      </w:r>
      <w:r>
        <w:rPr>
          <w:u w:val="single"/>
        </w:rPr>
        <w:t xml:space="preserve"> </w:t>
      </w:r>
      <w:r>
        <w:rPr>
          <w:u w:val="single"/>
        </w:rPr>
        <w:t xml:space="preserve">Subsection (l) of this section does not apply to money appropriated before January 1, 2024, or for the payment of principal and interest due on bonds and notes issued under other law before January 1, 2024.  This subsection expires January 1, 2054.</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Notwithstanding any other provision of this section, bonds and notes issued under this section, and money appropriated from the available workforce education fund under this section, may not be used for the purpose of constructing, equipping, repairing, or rehabilitating buildings or other permanent improvements that are to be used for intercollegiate athletics or auxiliary enterprises.</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An institution that is entitled to participate in dedicated funding provided by Section 17 or 18 of this article may not be entitled to participate in the funding provided by this section.</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This section does not impair any obligation created by the issuance of bonds or notes in accordance with prior law, including bonds or notes issued under Section 17 of this article before January 1, 2024, and all outstanding bonds and notes shall be paid in full, both principal and interest, in accordance with their terms.  If this section conflicts with any other provision of this constitution, this section prevails.</w:t>
      </w:r>
    </w:p>
    <w:p w:rsidR="003F3435" w:rsidRDefault="0032493E">
      <w:pPr>
        <w:spacing w:line="480" w:lineRule="auto"/>
        <w:ind w:firstLine="720"/>
        <w:jc w:val="both"/>
      </w:pPr>
      <w:r>
        <w:rPr>
          <w:u w:val="single"/>
        </w:rPr>
        <w:t xml:space="preserve">(o-1)</w:t>
      </w:r>
      <w:r>
        <w:rPr>
          <w:u w:val="single"/>
        </w:rPr>
        <w:t xml:space="preserve"> </w:t>
      </w:r>
      <w:r>
        <w:rPr>
          <w:u w:val="single"/>
        </w:rPr>
        <w:t xml:space="preserve"> </w:t>
      </w:r>
      <w:r>
        <w:rPr>
          <w:u w:val="single"/>
        </w:rPr>
        <w:t xml:space="preserve">On January 1, 2024, the comptroller of public accounts shall transfer $750 million of the unencumbered balance of the general revenue fund that exists on that date to the technical institution infrastructure fund.  This subsection expires December 31,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17(b) and (c), Article VII, Texas Constitution, are amended to read as follows:</w:t>
      </w:r>
    </w:p>
    <w:p w:rsidR="003F3435" w:rsidRDefault="0032493E">
      <w:pPr>
        <w:spacing w:line="480" w:lineRule="auto"/>
        <w:ind w:firstLine="720"/>
        <w:jc w:val="both"/>
      </w:pPr>
      <w:r>
        <w:t xml:space="preserve">(b)</w:t>
      </w:r>
      <w:r xml:space="preserve">
        <w:t> </w:t>
      </w:r>
      <w:r xml:space="preserve">
        <w:t> </w:t>
      </w:r>
      <w:r>
        <w:t xml:space="preserve">The funds appropriated under Subsection (a) of this section shall be for the use of the following eligible agencies and institutions of higher education (even though their names may be changed):</w:t>
      </w:r>
    </w:p>
    <w:p w:rsidR="003F3435" w:rsidRDefault="0032493E">
      <w:pPr>
        <w:spacing w:line="480" w:lineRule="auto"/>
        <w:ind w:firstLine="1440"/>
        <w:jc w:val="both"/>
      </w:pPr>
      <w:r>
        <w:t xml:space="preserve">(1)</w:t>
      </w:r>
      <w:r xml:space="preserve">
        <w:t> </w:t>
      </w:r>
      <w:r xml:space="preserve">
        <w:t> </w:t>
      </w:r>
      <w:r>
        <w:rPr>
          <w:u w:val="single"/>
        </w:rPr>
        <w:t xml:space="preserve">Texas A&amp;M University--Commerce</w:t>
      </w:r>
      <w:r>
        <w:t xml:space="preserve"> [</w:t>
      </w:r>
      <w:r>
        <w:rPr>
          <w:strike/>
        </w:rPr>
        <w:t xml:space="preserve">East Texas State University including East Texas State University at Texarkana</w:t>
      </w:r>
      <w:r>
        <w:t xml:space="preserve">];</w:t>
      </w:r>
    </w:p>
    <w:p w:rsidR="003F3435" w:rsidRDefault="0032493E">
      <w:pPr>
        <w:spacing w:line="480" w:lineRule="auto"/>
        <w:ind w:firstLine="1440"/>
        <w:jc w:val="both"/>
      </w:pPr>
      <w:r>
        <w:t xml:space="preserve">(2)</w:t>
      </w:r>
      <w:r xml:space="preserve">
        <w:t> </w:t>
      </w:r>
      <w:r xml:space="preserve">
        <w:t> </w:t>
      </w:r>
      <w:r>
        <w:t xml:space="preserve">Lamar University including Lamar </w:t>
      </w:r>
      <w:r>
        <w:rPr>
          <w:u w:val="single"/>
        </w:rPr>
        <w:t xml:space="preserve">State College--</w:t>
      </w:r>
      <w:r>
        <w:t xml:space="preserve"> [</w:t>
      </w:r>
      <w:r>
        <w:rPr>
          <w:strike/>
        </w:rPr>
        <w:t xml:space="preserve">University at</w:t>
      </w:r>
      <w:r>
        <w:t xml:space="preserve">] Orange and Lamar </w:t>
      </w:r>
      <w:r>
        <w:rPr>
          <w:u w:val="single"/>
        </w:rPr>
        <w:t xml:space="preserve">State College--</w:t>
      </w:r>
      <w:r>
        <w:t xml:space="preserve"> [</w:t>
      </w:r>
      <w:r>
        <w:rPr>
          <w:strike/>
        </w:rPr>
        <w:t xml:space="preserve">University at</w:t>
      </w:r>
      <w:r>
        <w:t xml:space="preserve">] Port Arthur;</w:t>
      </w:r>
    </w:p>
    <w:p w:rsidR="003F3435" w:rsidRDefault="0032493E">
      <w:pPr>
        <w:spacing w:line="480" w:lineRule="auto"/>
        <w:ind w:firstLine="1440"/>
        <w:jc w:val="both"/>
      </w:pPr>
      <w:r>
        <w:t xml:space="preserve">(3)</w:t>
      </w:r>
      <w:r xml:space="preserve">
        <w:t> </w:t>
      </w:r>
      <w:r xml:space="preserve">
        <w:t> </w:t>
      </w:r>
      <w:r>
        <w:t xml:space="preserve">Midwestern State University;</w:t>
      </w:r>
    </w:p>
    <w:p w:rsidR="003F3435" w:rsidRDefault="0032493E">
      <w:pPr>
        <w:spacing w:line="480" w:lineRule="auto"/>
        <w:ind w:firstLine="1440"/>
        <w:jc w:val="both"/>
      </w:pPr>
      <w:r>
        <w:t xml:space="preserve">(4)</w:t>
      </w:r>
      <w:r xml:space="preserve">
        <w:t> </w:t>
      </w:r>
      <w:r xml:space="preserve">
        <w:t> </w:t>
      </w:r>
      <w:r>
        <w:t xml:space="preserve">University of North Texas;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The University of Texas--Pan American including The University of Texas at Brownsville;</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Stephen F. Austin State University;</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Texas College of Osteopathic Medicine;</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Texas State University System Administration and the following component institutions:</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Sam Houston State University;</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xml:space="preserve">
        <w:rPr>
          <w:strike/>
        </w:rPr>
        <w:t> </w:t>
      </w:r>
      <w:r xml:space="preserve">
        <w:rPr>
          <w:strike/>
        </w:rPr>
        <w:t> </w:t>
      </w:r>
      <w:r>
        <w:rPr>
          <w:strike/>
        </w:rPr>
        <w:t xml:space="preserve">Southwest</w:t>
      </w:r>
      <w:r>
        <w:t xml:space="preserve">] Texas State University;</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Sul Ross State University including </w:t>
      </w:r>
      <w:r>
        <w:rPr>
          <w:u w:val="single"/>
        </w:rPr>
        <w:t xml:space="preserve">Rio Grande College</w:t>
      </w:r>
      <w:r>
        <w:t xml:space="preserve"> [</w:t>
      </w:r>
      <w:r>
        <w:rPr>
          <w:strike/>
        </w:rPr>
        <w:t xml:space="preserve">Uvalde Study Center</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Texas Southern University;</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Texas Tech University;</w:t>
      </w:r>
    </w:p>
    <w:p w:rsidR="003F3435" w:rsidRDefault="0032493E">
      <w:pPr>
        <w:spacing w:line="480" w:lineRule="auto"/>
        <w:ind w:firstLine="1440"/>
        <w:jc w:val="both"/>
      </w:pPr>
      <w:r>
        <w:rPr>
          <w:u w:val="single"/>
        </w:rPr>
        <w:t xml:space="preserve">(13)</w:t>
      </w:r>
      <w:r xml:space="preserve">
        <w:t> </w:t>
      </w:r>
      <w:r>
        <w:t xml:space="preserve">[</w:t>
      </w:r>
      <w:r>
        <w:rPr>
          <w:strike/>
        </w:rPr>
        <w:t xml:space="preserve">(14)</w:t>
      </w:r>
      <w:r>
        <w:t xml:space="preserve">]</w:t>
      </w:r>
      <w:r xml:space="preserve">
        <w:t> </w:t>
      </w:r>
      <w:r xml:space="preserve">
        <w:t> </w:t>
      </w:r>
      <w:r>
        <w:t xml:space="preserve">Texas Tech University Health Sciences Center;</w:t>
      </w:r>
    </w:p>
    <w:p w:rsidR="003F3435" w:rsidRDefault="0032493E">
      <w:pPr>
        <w:spacing w:line="480" w:lineRule="auto"/>
        <w:ind w:firstLine="1440"/>
        <w:jc w:val="both"/>
      </w:pPr>
      <w:r>
        <w:rPr>
          <w:u w:val="single"/>
        </w:rPr>
        <w:t xml:space="preserve">(14)</w:t>
      </w:r>
      <w:r xml:space="preserve">
        <w:t> </w:t>
      </w:r>
      <w:r>
        <w:t xml:space="preserve">[</w:t>
      </w:r>
      <w:r>
        <w:rPr>
          <w:strike/>
        </w:rPr>
        <w:t xml:space="preserve">(15)</w:t>
      </w:r>
      <w:r>
        <w:t xml:space="preserve">]</w:t>
      </w:r>
      <w:r xml:space="preserve">
        <w:t> </w:t>
      </w:r>
      <w:r xml:space="preserve">
        <w:t> </w:t>
      </w:r>
      <w:r>
        <w:t xml:space="preserve">Angelo State University;</w:t>
      </w:r>
    </w:p>
    <w:p w:rsidR="003F3435" w:rsidRDefault="0032493E">
      <w:pPr>
        <w:spacing w:line="480" w:lineRule="auto"/>
        <w:ind w:firstLine="144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Texas Woman's University;</w:t>
      </w:r>
    </w:p>
    <w:p w:rsidR="003F3435" w:rsidRDefault="0032493E">
      <w:pPr>
        <w:spacing w:line="480" w:lineRule="auto"/>
        <w:ind w:firstLine="1440"/>
        <w:jc w:val="both"/>
      </w:pPr>
      <w:r>
        <w:rPr>
          <w:u w:val="single"/>
        </w:rPr>
        <w:t xml:space="preserve">(16)</w:t>
      </w:r>
      <w:r xml:space="preserve">
        <w:t> </w:t>
      </w:r>
      <w:r>
        <w:t xml:space="preserve">[</w:t>
      </w:r>
      <w:r>
        <w:rPr>
          <w:strike/>
        </w:rPr>
        <w:t xml:space="preserve">(17)</w:t>
      </w:r>
      <w:r>
        <w:t xml:space="preserve">]</w:t>
      </w:r>
      <w:r xml:space="preserve">
        <w:t> </w:t>
      </w:r>
      <w:r xml:space="preserve">
        <w:t> </w:t>
      </w:r>
      <w:r>
        <w:t xml:space="preserve">University of Houston System Administration and the following component institutions:</w:t>
      </w:r>
    </w:p>
    <w:p w:rsidR="003F3435" w:rsidRDefault="0032493E">
      <w:pPr>
        <w:spacing w:line="480" w:lineRule="auto"/>
        <w:ind w:firstLine="1440"/>
        <w:jc w:val="both"/>
      </w:pPr>
      <w:r>
        <w:rPr>
          <w:u w:val="single"/>
        </w:rPr>
        <w:t xml:space="preserve">(17)</w:t>
      </w:r>
      <w:r xml:space="preserve">
        <w:t> </w:t>
      </w:r>
      <w:r>
        <w:t xml:space="preserve">[</w:t>
      </w:r>
      <w:r>
        <w:rPr>
          <w:strike/>
        </w:rPr>
        <w:t xml:space="preserve">(18)</w:t>
      </w:r>
      <w:r>
        <w:t xml:space="preserve">]</w:t>
      </w:r>
      <w:r xml:space="preserve">
        <w:t> </w:t>
      </w:r>
      <w:r xml:space="preserve">
        <w:t> </w:t>
      </w:r>
      <w:r>
        <w:t xml:space="preserve">University of Houston;</w:t>
      </w:r>
    </w:p>
    <w:p w:rsidR="003F3435" w:rsidRDefault="0032493E">
      <w:pPr>
        <w:spacing w:line="480" w:lineRule="auto"/>
        <w:ind w:firstLine="1440"/>
        <w:jc w:val="both"/>
      </w:pPr>
      <w:r>
        <w:rPr>
          <w:u w:val="single"/>
        </w:rPr>
        <w:t xml:space="preserve">(18)</w:t>
      </w:r>
      <w:r xml:space="preserve">
        <w:t> </w:t>
      </w:r>
      <w:r>
        <w:t xml:space="preserve">[</w:t>
      </w:r>
      <w:r>
        <w:rPr>
          <w:strike/>
        </w:rPr>
        <w:t xml:space="preserve">(19)</w:t>
      </w:r>
      <w:r>
        <w:t xml:space="preserve">]</w:t>
      </w:r>
      <w:r xml:space="preserve">
        <w:t> </w:t>
      </w:r>
      <w:r xml:space="preserve">
        <w:t> </w:t>
      </w:r>
      <w:r>
        <w:t xml:space="preserve">University of Houston--Victoria;</w:t>
      </w:r>
    </w:p>
    <w:p w:rsidR="003F3435" w:rsidRDefault="0032493E">
      <w:pPr>
        <w:spacing w:line="480" w:lineRule="auto"/>
        <w:ind w:firstLine="1440"/>
        <w:jc w:val="both"/>
      </w:pPr>
      <w:r>
        <w:rPr>
          <w:u w:val="single"/>
        </w:rPr>
        <w:t xml:space="preserve">(19)</w:t>
      </w:r>
      <w:r xml:space="preserve">
        <w:t> </w:t>
      </w:r>
      <w:r>
        <w:t xml:space="preserve">[</w:t>
      </w:r>
      <w:r>
        <w:rPr>
          <w:strike/>
        </w:rPr>
        <w:t xml:space="preserve">(20)</w:t>
      </w:r>
      <w:r>
        <w:t xml:space="preserve">]</w:t>
      </w:r>
      <w:r xml:space="preserve">
        <w:t> </w:t>
      </w:r>
      <w:r xml:space="preserve">
        <w:t> </w:t>
      </w:r>
      <w:r>
        <w:t xml:space="preserve">University of Houston--Clear Lake;</w:t>
      </w:r>
    </w:p>
    <w:p w:rsidR="003F3435" w:rsidRDefault="0032493E">
      <w:pPr>
        <w:spacing w:line="480" w:lineRule="auto"/>
        <w:ind w:firstLine="1440"/>
        <w:jc w:val="both"/>
      </w:pPr>
      <w:r>
        <w:rPr>
          <w:u w:val="single"/>
        </w:rPr>
        <w:t xml:space="preserve">(20)</w:t>
      </w:r>
      <w:r xml:space="preserve">
        <w:t> </w:t>
      </w:r>
      <w:r>
        <w:t xml:space="preserve">[</w:t>
      </w:r>
      <w:r>
        <w:rPr>
          <w:strike/>
        </w:rPr>
        <w:t xml:space="preserve">(21)</w:t>
      </w:r>
      <w:r>
        <w:t xml:space="preserve">]</w:t>
      </w:r>
      <w:r xml:space="preserve">
        <w:t> </w:t>
      </w:r>
      <w:r xml:space="preserve">
        <w:t> </w:t>
      </w:r>
      <w:r>
        <w:t xml:space="preserve">University of Houston--Downtown;</w:t>
      </w:r>
    </w:p>
    <w:p w:rsidR="003F3435" w:rsidRDefault="0032493E">
      <w:pPr>
        <w:spacing w:line="480" w:lineRule="auto"/>
        <w:ind w:firstLine="1440"/>
        <w:jc w:val="both"/>
      </w:pPr>
      <w:r>
        <w:rPr>
          <w:u w:val="single"/>
        </w:rPr>
        <w:t xml:space="preserve">(21)</w:t>
      </w:r>
      <w:r xml:space="preserve">
        <w:t> </w:t>
      </w:r>
      <w:r>
        <w:t xml:space="preserve">[</w:t>
      </w:r>
      <w:r>
        <w:rPr>
          <w:strike/>
        </w:rPr>
        <w:t xml:space="preserve">(22)</w:t>
      </w:r>
      <w:r>
        <w:t xml:space="preserve">]</w:t>
      </w:r>
      <w:r xml:space="preserve">
        <w:t> </w:t>
      </w:r>
      <w:r xml:space="preserve">
        <w:t> </w:t>
      </w:r>
      <w:r>
        <w:t xml:space="preserve">Texas A&amp;M University--Corpus Christi;</w:t>
      </w:r>
    </w:p>
    <w:p w:rsidR="003F3435" w:rsidRDefault="0032493E">
      <w:pPr>
        <w:spacing w:line="480" w:lineRule="auto"/>
        <w:ind w:firstLine="1440"/>
        <w:jc w:val="both"/>
      </w:pPr>
      <w:r>
        <w:rPr>
          <w:u w:val="single"/>
        </w:rPr>
        <w:t xml:space="preserve">(22)</w:t>
      </w:r>
      <w:r xml:space="preserve">
        <w:t> </w:t>
      </w:r>
      <w:r>
        <w:t xml:space="preserve">[</w:t>
      </w:r>
      <w:r>
        <w:rPr>
          <w:strike/>
        </w:rPr>
        <w:t xml:space="preserve">(23)</w:t>
      </w:r>
      <w:r>
        <w:t xml:space="preserve">]</w:t>
      </w:r>
      <w:r xml:space="preserve">
        <w:t> </w:t>
      </w:r>
      <w:r xml:space="preserve">
        <w:t> </w:t>
      </w:r>
      <w:r>
        <w:t xml:space="preserve">Texas A&amp;M International University;</w:t>
      </w:r>
    </w:p>
    <w:p w:rsidR="003F3435" w:rsidRDefault="0032493E">
      <w:pPr>
        <w:spacing w:line="480" w:lineRule="auto"/>
        <w:ind w:firstLine="1440"/>
        <w:jc w:val="both"/>
      </w:pPr>
      <w:r>
        <w:rPr>
          <w:u w:val="single"/>
        </w:rPr>
        <w:t xml:space="preserve">(23)</w:t>
      </w:r>
      <w:r xml:space="preserve">
        <w:t> </w:t>
      </w:r>
      <w:r>
        <w:t xml:space="preserve">[</w:t>
      </w:r>
      <w:r>
        <w:rPr>
          <w:strike/>
        </w:rPr>
        <w:t xml:space="preserve">(24)</w:t>
      </w:r>
      <w:r>
        <w:t xml:space="preserve">]</w:t>
      </w:r>
      <w:r xml:space="preserve">
        <w:t> </w:t>
      </w:r>
      <w:r xml:space="preserve">
        <w:t> </w:t>
      </w:r>
      <w:r>
        <w:t xml:space="preserve">Texas A&amp;M University--Kingsville;</w:t>
      </w:r>
    </w:p>
    <w:p w:rsidR="003F3435" w:rsidRDefault="0032493E">
      <w:pPr>
        <w:spacing w:line="480" w:lineRule="auto"/>
        <w:ind w:firstLine="1440"/>
        <w:jc w:val="both"/>
      </w:pPr>
      <w:r>
        <w:rPr>
          <w:u w:val="single"/>
        </w:rPr>
        <w:t xml:space="preserve">(24)</w:t>
      </w:r>
      <w:r xml:space="preserve">
        <w:t> </w:t>
      </w:r>
      <w:r>
        <w:t xml:space="preserve">[</w:t>
      </w:r>
      <w:r>
        <w:rPr>
          <w:strike/>
        </w:rPr>
        <w:t xml:space="preserve">(25)</w:t>
      </w:r>
      <w:r>
        <w:t xml:space="preserve">]</w:t>
      </w:r>
      <w:r xml:space="preserve">
        <w:t> </w:t>
      </w:r>
      <w:r xml:space="preserve">
        <w:t> </w:t>
      </w:r>
      <w:r>
        <w:t xml:space="preserve">West Texas A&amp;M University; and</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Texas A&amp;M University--Texarkana</w:t>
      </w:r>
      <w:r>
        <w:t xml:space="preserve"> [</w:t>
      </w:r>
      <w:r>
        <w:rPr>
          <w:strike/>
        </w:rPr>
        <w:t xml:space="preserve">(26)</w:t>
      </w:r>
      <w:r xml:space="preserve">
        <w:rPr>
          <w:strike/>
        </w:rPr>
        <w:t> </w:t>
      </w:r>
      <w:r xml:space="preserve">
        <w:rPr>
          <w:strike/>
        </w:rPr>
        <w:t> </w:t>
      </w:r>
      <w:r>
        <w:rPr>
          <w:strike/>
        </w:rPr>
        <w:t xml:space="preserve">Texas State Technical College System and its campuses, but not its extension centers or programs</w:t>
      </w:r>
      <w:r>
        <w:t xml:space="preserve">].</w:t>
      </w:r>
    </w:p>
    <w:p w:rsidR="003F3435" w:rsidRDefault="0032493E">
      <w:pPr>
        <w:spacing w:line="480" w:lineRule="auto"/>
        <w:ind w:firstLine="720"/>
        <w:jc w:val="both"/>
      </w:pPr>
      <w:r>
        <w:t xml:space="preserve">(c)</w:t>
      </w:r>
      <w:r xml:space="preserve">
        <w:t> </w:t>
      </w:r>
      <w:r xml:space="preserve">
        <w:t> </w:t>
      </w:r>
      <w:r>
        <w:t xml:space="preserve">Pursuant to a two-thirds vote of the membership of each house of the legislature, institutions of higher education may be created at a later date by general law, and, when created, such an institution shall be entitled to participate in the funding provided by this section if it is not created as a part of The University of Texas System or The Texas A&amp;M University System.  An institution that is entitled to participate in dedicated funding provided by [</w:t>
      </w:r>
      <w:r>
        <w:rPr>
          <w:strike/>
        </w:rPr>
        <w:t xml:space="preserve">Article VII,</w:t>
      </w:r>
      <w:r>
        <w:t xml:space="preserve">] Section 18 </w:t>
      </w:r>
      <w:r>
        <w:rPr>
          <w:u w:val="single"/>
        </w:rPr>
        <w:t xml:space="preserve">or 23</w:t>
      </w:r>
      <w:r>
        <w:t xml:space="preserve">[</w:t>
      </w:r>
      <w:r>
        <w:rPr>
          <w:strike/>
        </w:rPr>
        <w:t xml:space="preserve">,</w:t>
      </w:r>
      <w:r>
        <w:t xml:space="preserve">] of this </w:t>
      </w:r>
      <w:r>
        <w:rPr>
          <w:u w:val="single"/>
        </w:rPr>
        <w:t xml:space="preserve">article</w:t>
      </w:r>
      <w:r>
        <w:t xml:space="preserve"> [</w:t>
      </w:r>
      <w:r>
        <w:rPr>
          <w:strike/>
        </w:rPr>
        <w:t xml:space="preserve">constitution</w:t>
      </w:r>
      <w:r>
        <w:t xml:space="preserve">] may not be entitled to participate in the funding provided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18(c), Article VII,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Pursuant to a two-thirds vote of the membership of each house of the legislature, institutions of higher education may be created at a later date as a part of The University of Texas System or The Texas A&amp;M University System by general law, and, when created, such an institution shall be entitled to participate in the funding provided by this section for the system in which it is created.  An institution that is entitled to participate in dedicated funding provided by [</w:t>
      </w:r>
      <w:r>
        <w:rPr>
          <w:strike/>
        </w:rPr>
        <w:t xml:space="preserve">Article VII,</w:t>
      </w:r>
      <w:r>
        <w:t xml:space="preserve">] Section 17 </w:t>
      </w:r>
      <w:r>
        <w:rPr>
          <w:u w:val="single"/>
        </w:rPr>
        <w:t xml:space="preserve">or 23</w:t>
      </w:r>
      <w:r>
        <w:t xml:space="preserve">[</w:t>
      </w:r>
      <w:r>
        <w:rPr>
          <w:strike/>
        </w:rPr>
        <w:t xml:space="preserve">,</w:t>
      </w:r>
      <w:r>
        <w:t xml:space="preserve">] of this </w:t>
      </w:r>
      <w:r>
        <w:rPr>
          <w:u w:val="single"/>
        </w:rPr>
        <w:t xml:space="preserve">article</w:t>
      </w:r>
      <w:r>
        <w:t xml:space="preserve"> [</w:t>
      </w:r>
      <w:r>
        <w:rPr>
          <w:strike/>
        </w:rPr>
        <w:t xml:space="preserve">constitution</w:t>
      </w:r>
      <w:r>
        <w:t xml:space="preserve">] may not be entitled to participate in the funding provided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17(d-1), Article VII, Texas Constitution,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VII, Texas Constitution, is amended by adding Section 23A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23A.</w:t>
      </w:r>
      <w:r>
        <w:rPr>
          <w:u w:val="single"/>
        </w:rPr>
        <w:t xml:space="preserve"> </w:t>
      </w:r>
      <w:r>
        <w:rPr>
          <w:u w:val="single"/>
        </w:rPr>
        <w:t xml:space="preserve"> </w:t>
      </w:r>
      <w:r>
        <w:rPr>
          <w:u w:val="single"/>
        </w:rPr>
        <w:t xml:space="preserve">TEMPORARY PROVISION.  (a)  The transfer of the Texas State Technical College System from Section 17 of this article to Section 23 of this article by the constitutional amendment proposed by the 88th Legislature, Regular Session, 2023, applies beginning with the state fiscal year that begins September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Beginning with the state fiscal year that begins September 1, 2025, the funds allocated as provided by Section 17(d) of this article to the Texas State Technical College System shall be allocated to the other agencies and institutions eligible to receive funds under Section 17 of this article in proportion to the other funds allocated to those agencies and institutions as provided by Section 17(d) of this article, until the legislature or designated agency eliminates the Texas State Technical College System from the formula and allocations made under Section 17(d) of this article.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2031.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for the creation of the technical institution infrastructure fund and the available workforce education fund to support the capital needs of career and technical education programs offered by the Texas State Technical College System."</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