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88R2258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S.J.R.</w:t>
      </w:r>
      <w:r xml:space="preserve">
        <w:t> </w:t>
      </w:r>
      <w:r>
        <w:t xml:space="preserve">No.</w:t>
      </w:r>
      <w:r xml:space="preserve">
        <w:t> </w:t>
      </w:r>
      <w:r>
        <w:t xml:space="preserve">86</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requiring this state to observe daylight saving time year-round.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XVI, Texas Constitution, is amended by adding Section 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w:t>
      </w:r>
      <w:r>
        <w:rPr>
          <w:u w:val="single"/>
        </w:rPr>
        <w:t xml:space="preserve"> </w:t>
      </w:r>
      <w:r>
        <w:rPr>
          <w:u w:val="single"/>
        </w:rPr>
        <w:t xml:space="preserve"> </w:t>
      </w:r>
      <w:r>
        <w:rPr>
          <w:u w:val="single"/>
        </w:rPr>
        <w:t xml:space="preserve">(a)  This state shall observe daylight saving time year-round throughout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 all portions of the state, regardless of time zone.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court finds this state is not authorized by federal law to implement this section, Subsections (a) and (b) of this section have full force and effect on the date the United States Congress enacts legislation that becomes law that authorizes this state to observe daylight saving time as prescribed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requiring this state to observe daylight saving time year-round."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