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equipment or inventory held by a manufacturer of medical or biomedical products to protect the Texas healthcare network and strengthen our medical supply chain.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1-x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1-x.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tangible personal property held by a manufacturer of medical or biomedical products as a finished good or used in the manufacturing or processing of medical or biomedical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 "The constitutional amendment to authorize the legislature to exempt from ad valorem taxation equipment or inventory held by a manufacturer of medical or biomedical products to protect the Texas healthcare network and strengthen our medical supply chain."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S.J.R.</w:t>
      </w:r>
      <w:r xml:space="preserve">
        <w:t> </w:t>
      </w:r>
      <w:r>
        <w:t xml:space="preserve">No.</w:t>
      </w:r>
      <w:r xml:space="preserve">
        <w:t> </w:t>
      </w:r>
      <w:r>
        <w:t xml:space="preserve">87 was adopted by the Senate on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4.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S.J.R.</w:t>
      </w:r>
      <w:r xml:space="preserve">
        <w:t> </w:t>
      </w:r>
      <w:r>
        <w:t xml:space="preserve">No.</w:t>
      </w:r>
      <w:r xml:space="preserve">
        <w:t> </w:t>
      </w:r>
      <w:r>
        <w:t xml:space="preserve">87 was adopted by the House on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125, Nays</w:t>
      </w:r>
      <w:r xml:space="preserve">
        <w:t> </w:t>
      </w:r>
      <w:r>
        <w:t xml:space="preserve">10,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Received: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State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S.J.R.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