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88R7059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87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certain tangible personal property held by a manufacturer of medical or biomedical products as a finished good or used in the manufacturing or processing of medical or biomedical products.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1-x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1-x.</w:t>
      </w:r>
      <w:r>
        <w:rPr>
          <w:u w:val="single"/>
        </w:rPr>
        <w:t xml:space="preserve"> </w:t>
      </w:r>
      <w:r>
        <w:rPr>
          <w:u w:val="single"/>
        </w:rPr>
        <w:t xml:space="preserve"> </w:t>
      </w:r>
      <w:r>
        <w:rPr>
          <w:u w:val="single"/>
        </w:rPr>
        <w:t xml:space="preserve">The legislature by general law may exempt from ad valorem taxation the tangible personal property held by a manufacturer of medical or biomedical products as a finished good or used in the manufacturing or processing of medical or biomedical products.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exempt from ad valorem taxation certain tangible personal property held by a manufacturer of medical or biomedical products as a finished good or used in the manufacturing or processing of medical or biomedical products."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