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S.J.R.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providing for the creation of the Texas energy fund and the authorization of other funding mechanisms to support the construction, maintenance, and modernization of electric generating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49-q.</w:t>
      </w:r>
      <w:r>
        <w:rPr>
          <w:u w:val="single"/>
        </w:rPr>
        <w:t xml:space="preserve"> </w:t>
      </w:r>
      <w:r>
        <w:rPr>
          <w:u w:val="single"/>
        </w:rPr>
        <w:t xml:space="preserve"> </w:t>
      </w:r>
      <w:r>
        <w:rPr>
          <w:u w:val="single"/>
        </w:rPr>
        <w:t xml:space="preserve">(a)  The Texas energy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Texas energy fund may be administered and used, without further appropriation, only by the Public Utility Commission of Texas or that commission's successor in function to provide loans and grants to any entity to finance or incentivize the construction, maintenance, and modernization of electric generating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administering the Texas energy fund may establish separate accounts in the fund as necessary or convenient for the fund's administration.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energy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credited, appropriated, or transferred to the fund by or as authorized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returns received from the investment of the money in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contributed to the credit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reasonable expenses of managing the Texas energy fund's assets shall be paid from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legislature by a provision of a general appropriations act may provide for the transfer to the general revenue fund of money that is subject to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legislature may appropriate general revenue for the purpose of depositing money to the credit of the Texas energy fund to be used for the purposes of that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Regardless of whether the legislature directs that the money be deposited to the credit of the Texas energy fund, the legislature may appropriate general revenue to be expended for any purpose related to construction, maintenance, or modernization of electric generating facilities to ensure the reliability or adequacy of an electric power grid in this state.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Texas energy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Texas energy fund is treated as if it were an appropriation of revenues dedicated by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providing for the creation of the Texas energy fund and the authorization of other funding mechanisms to support the construction, maintenance, and modernization of electric generating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