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178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Senate of the State of Texas takes great pleasure in joining the citizens of Chambers County for the celebration of Chambers County Day at the Capitol on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Situated on 600 square miles of Gulf Coast plains, Chambers County has a long and colorful history; in 1756, Spaniards erected a mission and presidio near present-day Wallisville to ensure control of the region, and in 1818, a group of French supporters of Napoleon Bonaparte established a short-lived colony near present-day Anahuac; in 1832 and 1835, conflicts at Anahuac between Anglo immigrants and Mexican authorities foreshadowed the Texas Revolution;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Chambers County was created from portions of Liberty and Jefferson Counties in 1858 and named in honor of General T. J. Chambers; Wallisville was the county seat until 1908, when that role was transfered to Anahuac;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Countless tourists are drawn to the attractions and events offered by Chambers County; Anahuac, known as the Alligator Capital of Texas, hosts the Texas Gatorfest each September at Fort Anahuac Park; another celebration is the Texas Rice Festival, which is held in September and October;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Visitors are also drawn by the area's historic sites and excellent golf courses and by the bountiful opportunities for birding, fishing, hunting, crabbing, boating, and photography; among the attractions are Wallisville Heritage Park, Houston Raceway Park, Moody National Wildlife Refuge, Anahuac National Wildlife Refuge, and the Corps of Engineers Trinity River Recreation Area;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In addition to tourism, the county's economy benefits from such enterprises as chemical plants and fish and oyster processing, as well as from business in manufacturing and agribusiness;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Chambers County is situated between Houston and the Golden Triangle of Beaumont-Orange-Port Arthur, and it offers its people both quiet rural living and convenient access to big-city amenities; and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residents of Chambers County are justifiably proud of their achievements, for this noteworthy region and its citizens have played a significant role in the development of the Lone Star State; now, therefore, be it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hereby recognize February 22, 2023, as Chambers County Day at the Capitol and extend a warm welcome to the fine citizens who have traveled to Austin to celebrate this occasion; and, be it further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 copy of this Resolution be prepared for the people of Chambers County as a memento of this special occasion.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Creighton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22,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178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