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2023S0205-1  02/23/23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Hinojosa, LaMantia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250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Senate of the State of Texas is pleased to join the citizens of the Coastal Bend and Texans across the state in celebrating February 28, 2023, as Texas A&amp;M University--Corpus Christi Day at the Capitol;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Texas A&amp;M University--Corpus Christi traces its beginnings to 1947, when the University of Corpus Christi was established; the institution became a part of The Texas A&amp;M University System in 1989;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Today, the university serves more than 12,000 students; it offers bachelor's, master's, and doctoral degrees from the colleges of Business, Education and Human Development, Liberal Arts, Nursing and Health Sciences, and Science and Engineering, and from the University College;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university continues to bring new programs and initiatives to the campus, including a bachelor's degree in media production, a bachelor of business administration degree at the RELLIS campus in Bryan, a master's degree in athletic training, and multiple certificate programs approved by the United States Department of Education;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Texas A&amp;M University--Corpus Christi is home to world-class centers and institutes conducting autonomous geospatial and marine research focused on the Gulf of Mexico;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Texas A&amp;M University--Corpus Christi is one of the foremost institutions of higher education in the state, and it is truly fitting that a day be set aside to recognize its many contributions to the growth and prosperity of the Lone Star State;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State of Texas, 88th Legislature, hereby commend the administration, faculty, and staff of Texas A&amp;M University--Corpus Christi on their commitment to excellence in education and extend to all best wishes for an enjoyable Texas A&amp;M University--Corpus Christi Day at the Capitol;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 copy of this Resolution be prepared for the university as an expression of esteem from the Texas Senate.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250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