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4A99C44A" w14:textId="77777777" w:rsidTr="00894E4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76719" w14:paraId="062A2BB2" w14:textId="77777777">
            <w:pPr>
              <w:ind w:left="650"/>
              <w:jc w:val="center"/>
            </w:pPr>
            <w:r>
              <w:rPr>
                <w:b/>
              </w:rPr>
              <w:t>House Bill  2719</w:t>
            </w:r>
          </w:p>
          <w:p w:rsidR="00476719" w14:paraId="1ADB1266" w14:textId="77777777">
            <w:pPr>
              <w:ind w:left="650"/>
              <w:jc w:val="center"/>
            </w:pPr>
            <w:r>
              <w:t>Senate Amendments</w:t>
            </w:r>
          </w:p>
          <w:p w:rsidR="00476719" w14:paraId="615D9883" w14:textId="77777777">
            <w:pPr>
              <w:ind w:left="650"/>
              <w:jc w:val="center"/>
            </w:pPr>
            <w:r>
              <w:t>Section-by-Section Analysis</w:t>
            </w:r>
          </w:p>
          <w:p w:rsidR="00476719" w14:paraId="5EB0C20A" w14:textId="77777777">
            <w:pPr>
              <w:jc w:val="center"/>
            </w:pPr>
          </w:p>
        </w:tc>
      </w:tr>
      <w:tr w14:paraId="27BE8F70"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76719" w14:paraId="080C1A76" w14:textId="77777777">
            <w:pPr>
              <w:jc w:val="center"/>
            </w:pPr>
            <w:r>
              <w:t>HOUSE VERSION</w:t>
            </w:r>
          </w:p>
        </w:tc>
        <w:tc>
          <w:tcPr>
            <w:tcW w:w="1667" w:type="pct"/>
            <w:tcMar>
              <w:bottom w:w="188" w:type="dxa"/>
              <w:right w:w="0" w:type="dxa"/>
            </w:tcMar>
          </w:tcPr>
          <w:p w:rsidR="00476719" w14:paraId="535FD098" w14:textId="77777777">
            <w:pPr>
              <w:jc w:val="center"/>
            </w:pPr>
            <w:r>
              <w:t>SENATE VERSION (CS)</w:t>
            </w:r>
          </w:p>
        </w:tc>
        <w:tc>
          <w:tcPr>
            <w:tcW w:w="1667" w:type="pct"/>
            <w:tcMar>
              <w:bottom w:w="188" w:type="dxa"/>
              <w:right w:w="0" w:type="dxa"/>
            </w:tcMar>
          </w:tcPr>
          <w:p w:rsidR="00476719" w14:paraId="1DD24C1C" w14:textId="77777777">
            <w:pPr>
              <w:jc w:val="center"/>
            </w:pPr>
            <w:r>
              <w:t>CONFERENCE</w:t>
            </w:r>
          </w:p>
        </w:tc>
      </w:tr>
      <w:tr w14:paraId="2493161E" w14:textId="77777777">
        <w:tblPrEx>
          <w:tblW w:w="4820" w:type="pct"/>
          <w:tblInd w:w="6" w:type="dxa"/>
          <w:tblLayout w:type="fixed"/>
          <w:tblCellMar>
            <w:left w:w="0" w:type="dxa"/>
            <w:bottom w:w="288" w:type="dxa"/>
            <w:right w:w="720" w:type="dxa"/>
          </w:tblCellMar>
          <w:tblLook w:val="01E0"/>
        </w:tblPrEx>
        <w:tc>
          <w:tcPr>
            <w:tcW w:w="6473" w:type="dxa"/>
          </w:tcPr>
          <w:p w:rsidR="00476719" w14:paraId="5491772E" w14:textId="77777777">
            <w:pPr>
              <w:jc w:val="both"/>
            </w:pPr>
            <w:r>
              <w:t>SECTION 1.  Section 442.0053, Government Code, is amended to read as follows:</w:t>
            </w:r>
          </w:p>
          <w:p w:rsidR="00476719" w14:paraId="6B960217" w14:textId="77777777">
            <w:pPr>
              <w:jc w:val="both"/>
            </w:pPr>
            <w:r>
              <w:t>Sec. 442.0053.  ELIGIBILITY CRITERIA FOR INCLUSION OF REAL PROPERTY IN STATE HISTORIC SITES SYSTEM.  (a)  The commission by rule shall adopt criteria for determining the eligibility of real property [</w:t>
            </w:r>
            <w:r>
              <w:rPr>
                <w:strike/>
              </w:rPr>
              <w:t>donated to the commission</w:t>
            </w:r>
            <w:r>
              <w:t>] for inclusion in the historic sites system.</w:t>
            </w:r>
          </w:p>
          <w:p w:rsidR="00476719" w14:paraId="74DB1926" w14:textId="4BFEAB39">
            <w:pPr>
              <w:jc w:val="both"/>
            </w:pPr>
            <w:r>
              <w:t xml:space="preserve">(b)  The commission may </w:t>
            </w:r>
            <w:r>
              <w:rPr>
                <w:u w:val="single"/>
              </w:rPr>
              <w:t>acquire by purchase or gift or in any other manner</w:t>
            </w:r>
            <w:r>
              <w:t xml:space="preserve"> [</w:t>
            </w:r>
            <w:r>
              <w:rPr>
                <w:strike/>
              </w:rPr>
              <w:t>accept a donation of</w:t>
            </w:r>
            <w:r>
              <w:t>] real property that satisfies the criteria adopted under Subsection (a).</w:t>
            </w:r>
          </w:p>
          <w:p w:rsidR="00894E40" w14:paraId="03FB7D2E" w14:textId="61FE0E86">
            <w:pPr>
              <w:jc w:val="both"/>
            </w:pPr>
          </w:p>
          <w:p w:rsidR="00894E40" w14:paraId="6A800916" w14:textId="4CE98C19">
            <w:pPr>
              <w:jc w:val="both"/>
            </w:pPr>
          </w:p>
          <w:p w:rsidR="00894E40" w14:paraId="36B085A2" w14:textId="2D035691">
            <w:pPr>
              <w:jc w:val="both"/>
            </w:pPr>
          </w:p>
          <w:p w:rsidR="00894E40" w14:paraId="741CD3C9" w14:textId="10F5C16E">
            <w:pPr>
              <w:jc w:val="both"/>
            </w:pPr>
          </w:p>
          <w:p w:rsidR="00894E40" w14:paraId="3F0A52BB" w14:textId="0A14AB80">
            <w:pPr>
              <w:jc w:val="both"/>
            </w:pPr>
          </w:p>
          <w:p w:rsidR="00894E40" w14:paraId="5603FFA0" w14:textId="72728AD1">
            <w:pPr>
              <w:jc w:val="both"/>
            </w:pPr>
          </w:p>
          <w:p w:rsidR="00894E40" w14:paraId="2F447122" w14:textId="6FB4ECE8">
            <w:pPr>
              <w:jc w:val="both"/>
            </w:pPr>
          </w:p>
          <w:p w:rsidR="00894E40" w14:paraId="0AF16C08" w14:textId="6ACA2A2C">
            <w:pPr>
              <w:jc w:val="both"/>
            </w:pPr>
          </w:p>
          <w:p w:rsidR="00894E40" w14:paraId="68C0CDD2" w14:textId="47A4EA99">
            <w:pPr>
              <w:jc w:val="both"/>
            </w:pPr>
          </w:p>
          <w:p w:rsidR="00894E40" w14:paraId="1CC8CC59" w14:textId="5E5420DC">
            <w:pPr>
              <w:jc w:val="both"/>
            </w:pPr>
          </w:p>
          <w:p w:rsidR="00894E40" w14:paraId="5C7D9068" w14:textId="77777777">
            <w:pPr>
              <w:jc w:val="both"/>
            </w:pPr>
          </w:p>
          <w:p w:rsidR="00476719" w14:paraId="1460BD1F" w14:textId="77777777">
            <w:pPr>
              <w:jc w:val="both"/>
            </w:pPr>
            <w:r>
              <w:t>(c)  The commission may</w:t>
            </w:r>
            <w:r>
              <w:rPr>
                <w:u w:val="single"/>
              </w:rPr>
              <w:t>:</w:t>
            </w:r>
          </w:p>
          <w:p w:rsidR="00476719" w14:paraId="5E43FA8B" w14:textId="77777777">
            <w:pPr>
              <w:jc w:val="both"/>
            </w:pPr>
            <w:r>
              <w:rPr>
                <w:u w:val="single"/>
              </w:rPr>
              <w:t>(1)</w:t>
            </w:r>
            <w:r>
              <w:t xml:space="preserve">  renovate or restore [</w:t>
            </w:r>
            <w:r>
              <w:rPr>
                <w:strike/>
              </w:rPr>
              <w:t>donated</w:t>
            </w:r>
            <w:r>
              <w:t xml:space="preserve">] real property </w:t>
            </w:r>
            <w:r>
              <w:rPr>
                <w:u w:val="single"/>
              </w:rPr>
              <w:t>acquired under Subsection (b)</w:t>
            </w:r>
            <w:r>
              <w:t>, including improvements to the property</w:t>
            </w:r>
            <w:r>
              <w:rPr>
                <w:u w:val="single"/>
              </w:rPr>
              <w:t>;</w:t>
            </w:r>
            <w:r>
              <w:t xml:space="preserve"> [</w:t>
            </w:r>
            <w:r>
              <w:rPr>
                <w:strike/>
              </w:rPr>
              <w:t>,</w:t>
            </w:r>
            <w:r>
              <w:t>] or</w:t>
            </w:r>
          </w:p>
          <w:p w:rsidR="00476719" w14:paraId="70EF8DBF" w14:textId="77777777">
            <w:pPr>
              <w:jc w:val="both"/>
            </w:pPr>
            <w:r>
              <w:rPr>
                <w:u w:val="single"/>
              </w:rPr>
              <w:t>(2)</w:t>
            </w:r>
            <w:r>
              <w:t xml:space="preserve">  construct new improvements on the [</w:t>
            </w:r>
            <w:r>
              <w:rPr>
                <w:strike/>
              </w:rPr>
              <w:t>donated</w:t>
            </w:r>
            <w:r>
              <w:t>] real property as necessary and prudent.</w:t>
            </w:r>
          </w:p>
          <w:p w:rsidR="00476719" w14:paraId="311DBDC4" w14:textId="77777777">
            <w:pPr>
              <w:jc w:val="both"/>
            </w:pPr>
          </w:p>
        </w:tc>
        <w:tc>
          <w:tcPr>
            <w:tcW w:w="6480" w:type="dxa"/>
          </w:tcPr>
          <w:p w:rsidR="00476719" w14:paraId="5D05D8E6" w14:textId="77777777">
            <w:pPr>
              <w:jc w:val="both"/>
            </w:pPr>
            <w:r>
              <w:t>SECTION 1.  Section 442.0053, Government Code, is amended to read as follows:</w:t>
            </w:r>
          </w:p>
          <w:p w:rsidR="00476719" w14:paraId="445EE172" w14:textId="77777777">
            <w:pPr>
              <w:jc w:val="both"/>
            </w:pPr>
            <w:r>
              <w:t>Sec. 442.0053.  ELIGIBILITY CRITERIA FOR INCLUSION OF REAL PROPERTY IN STATE HISTORIC SITES SYSTEM.  (a)  The commission by rule shall adopt criteria for determining the eligibility of real property [</w:t>
            </w:r>
            <w:r>
              <w:rPr>
                <w:strike/>
              </w:rPr>
              <w:t>donated to the commission</w:t>
            </w:r>
            <w:r>
              <w:t>] for inclusion in the historic sites system.</w:t>
            </w:r>
          </w:p>
          <w:p w:rsidR="00476719" w14:paraId="06FBAFDA" w14:textId="77777777">
            <w:pPr>
              <w:jc w:val="both"/>
            </w:pPr>
            <w:r>
              <w:t xml:space="preserve">(b)  The commission may </w:t>
            </w:r>
            <w:r>
              <w:rPr>
                <w:u w:val="single"/>
              </w:rPr>
              <w:t>acquire by purchase or gift or in any other manner</w:t>
            </w:r>
            <w:r>
              <w:t xml:space="preserve"> [</w:t>
            </w:r>
            <w:r>
              <w:rPr>
                <w:strike/>
              </w:rPr>
              <w:t>accept a donation of</w:t>
            </w:r>
            <w:r>
              <w:t>] real property that satisfies the criteria adopted under Subsection (a).</w:t>
            </w:r>
          </w:p>
          <w:p w:rsidR="00476719" w14:paraId="00960515" w14:textId="77777777">
            <w:pPr>
              <w:jc w:val="both"/>
            </w:pPr>
            <w:r>
              <w:rPr>
                <w:u w:val="single"/>
              </w:rPr>
              <w:t xml:space="preserve">(b-1)  </w:t>
            </w:r>
            <w:r w:rsidRPr="00894E40">
              <w:rPr>
                <w:highlight w:val="lightGray"/>
                <w:u w:val="single"/>
              </w:rPr>
              <w:t>Before adding real property to the historic sites system under this section, the commission shall develop a funding plan for the restoration, interpretation, development, long-term operation, and preservation of the real property to be added to the historic sites system.  The plan may provide for an endowment fund, or other sources of funding, as appropriate.  The commission may not add the real property to the historic sites system unless there are adequate financial resources available or assured for the restoration, interpretation, development, long-term operation, and preservation of the real property.</w:t>
            </w:r>
          </w:p>
          <w:p w:rsidR="00476719" w14:paraId="164DA3AA" w14:textId="77777777">
            <w:pPr>
              <w:jc w:val="both"/>
            </w:pPr>
            <w:r>
              <w:t>(c)  The commission may</w:t>
            </w:r>
            <w:r>
              <w:rPr>
                <w:u w:val="single"/>
              </w:rPr>
              <w:t>:</w:t>
            </w:r>
          </w:p>
          <w:p w:rsidR="00476719" w14:paraId="3B8C6A9B" w14:textId="77777777">
            <w:pPr>
              <w:jc w:val="both"/>
            </w:pPr>
            <w:r>
              <w:rPr>
                <w:u w:val="single"/>
              </w:rPr>
              <w:t>(1)</w:t>
            </w:r>
            <w:r>
              <w:t xml:space="preserve">  renovate or restore [</w:t>
            </w:r>
            <w:r>
              <w:rPr>
                <w:strike/>
              </w:rPr>
              <w:t>donated</w:t>
            </w:r>
            <w:r>
              <w:t xml:space="preserve">] real property </w:t>
            </w:r>
            <w:r>
              <w:rPr>
                <w:u w:val="single"/>
              </w:rPr>
              <w:t>acquired under Subsection (b)</w:t>
            </w:r>
            <w:r>
              <w:t>, including improvements to the property</w:t>
            </w:r>
            <w:r>
              <w:rPr>
                <w:u w:val="single"/>
              </w:rPr>
              <w:t>;</w:t>
            </w:r>
            <w:r>
              <w:t xml:space="preserve"> [</w:t>
            </w:r>
            <w:r>
              <w:rPr>
                <w:strike/>
              </w:rPr>
              <w:t>,</w:t>
            </w:r>
            <w:r>
              <w:t>] or</w:t>
            </w:r>
          </w:p>
          <w:p w:rsidR="00476719" w14:paraId="14E283FB" w14:textId="77777777">
            <w:pPr>
              <w:jc w:val="both"/>
            </w:pPr>
            <w:r>
              <w:rPr>
                <w:u w:val="single"/>
              </w:rPr>
              <w:t>(2)</w:t>
            </w:r>
            <w:r>
              <w:t xml:space="preserve">  construct new improvements on the [</w:t>
            </w:r>
            <w:r>
              <w:rPr>
                <w:strike/>
              </w:rPr>
              <w:t>donated</w:t>
            </w:r>
            <w:r>
              <w:t>] real property as necessary and prudent.</w:t>
            </w:r>
          </w:p>
          <w:p w:rsidR="00476719" w14:paraId="50EDF0E0" w14:textId="77777777">
            <w:pPr>
              <w:jc w:val="both"/>
            </w:pPr>
          </w:p>
        </w:tc>
        <w:tc>
          <w:tcPr>
            <w:tcW w:w="5760" w:type="dxa"/>
          </w:tcPr>
          <w:p w:rsidR="00476719" w14:paraId="533EA029" w14:textId="77777777">
            <w:pPr>
              <w:jc w:val="both"/>
            </w:pPr>
          </w:p>
        </w:tc>
      </w:tr>
      <w:tr w14:paraId="12207DE9" w14:textId="77777777">
        <w:tblPrEx>
          <w:tblW w:w="4820" w:type="pct"/>
          <w:tblInd w:w="6" w:type="dxa"/>
          <w:tblLayout w:type="fixed"/>
          <w:tblCellMar>
            <w:left w:w="0" w:type="dxa"/>
            <w:bottom w:w="288" w:type="dxa"/>
            <w:right w:w="720" w:type="dxa"/>
          </w:tblCellMar>
          <w:tblLook w:val="01E0"/>
        </w:tblPrEx>
        <w:tc>
          <w:tcPr>
            <w:tcW w:w="6473" w:type="dxa"/>
          </w:tcPr>
          <w:p w:rsidR="00476719" w14:paraId="39C452D8" w14:textId="77777777">
            <w:pPr>
              <w:jc w:val="both"/>
            </w:pPr>
            <w:r>
              <w:t>SECTION 2.  Section 442.0083(e), Government Code, is amended to read as follows:</w:t>
            </w:r>
          </w:p>
          <w:p w:rsidR="00476719" w14:paraId="3BAAE90F" w14:textId="77777777">
            <w:pPr>
              <w:jc w:val="both"/>
            </w:pPr>
            <w:r>
              <w:t xml:space="preserve">(e)  A grant for a historic courthouse project may not exceed the greater of </w:t>
            </w:r>
            <w:r>
              <w:rPr>
                <w:u w:val="single"/>
              </w:rPr>
              <w:t>$10</w:t>
            </w:r>
            <w:r>
              <w:t xml:space="preserve"> [</w:t>
            </w:r>
            <w:r>
              <w:rPr>
                <w:strike/>
              </w:rPr>
              <w:t>$6</w:t>
            </w:r>
            <w:r>
              <w:t xml:space="preserve">] million or two percent of the amount </w:t>
            </w:r>
            <w:r>
              <w:t>appropriated for implementing the historic courthouse preservation program during the state fiscal biennium.</w:t>
            </w:r>
          </w:p>
          <w:p w:rsidR="00476719" w14:paraId="26BBADF5" w14:textId="77777777">
            <w:pPr>
              <w:jc w:val="both"/>
            </w:pPr>
          </w:p>
        </w:tc>
        <w:tc>
          <w:tcPr>
            <w:tcW w:w="6480" w:type="dxa"/>
          </w:tcPr>
          <w:p w:rsidR="00476719" w14:paraId="090D4AC0" w14:textId="77777777">
            <w:pPr>
              <w:jc w:val="both"/>
            </w:pPr>
            <w:r>
              <w:t>SECTION 2. Same as House version.</w:t>
            </w:r>
          </w:p>
          <w:p w:rsidR="00476719" w14:paraId="5DF96ACF" w14:textId="77777777">
            <w:pPr>
              <w:jc w:val="both"/>
            </w:pPr>
          </w:p>
          <w:p w:rsidR="00476719" w14:paraId="448376D8" w14:textId="77777777">
            <w:pPr>
              <w:jc w:val="both"/>
            </w:pPr>
          </w:p>
        </w:tc>
        <w:tc>
          <w:tcPr>
            <w:tcW w:w="5760" w:type="dxa"/>
          </w:tcPr>
          <w:p w:rsidR="00476719" w14:paraId="027308AD" w14:textId="77777777">
            <w:pPr>
              <w:jc w:val="both"/>
            </w:pPr>
          </w:p>
        </w:tc>
      </w:tr>
      <w:tr w14:paraId="79378683" w14:textId="77777777">
        <w:tblPrEx>
          <w:tblW w:w="4820" w:type="pct"/>
          <w:tblInd w:w="6" w:type="dxa"/>
          <w:tblLayout w:type="fixed"/>
          <w:tblCellMar>
            <w:left w:w="0" w:type="dxa"/>
            <w:bottom w:w="288" w:type="dxa"/>
            <w:right w:w="720" w:type="dxa"/>
          </w:tblCellMar>
          <w:tblLook w:val="01E0"/>
        </w:tblPrEx>
        <w:tc>
          <w:tcPr>
            <w:tcW w:w="6473" w:type="dxa"/>
          </w:tcPr>
          <w:p w:rsidR="00476719" w14:paraId="038B1BCF" w14:textId="77777777">
            <w:pPr>
              <w:jc w:val="both"/>
            </w:pPr>
            <w:r>
              <w:t>SECTION 3.  The heading to Subchapter C, Chapter 442, Government Code, is amended to read as follows:</w:t>
            </w:r>
          </w:p>
          <w:p w:rsidR="00476719" w14:paraId="0AB6753F" w14:textId="77777777">
            <w:pPr>
              <w:jc w:val="both"/>
            </w:pPr>
            <w:r>
              <w:t xml:space="preserve">SUBCHAPTER C.  </w:t>
            </w:r>
            <w:r>
              <w:rPr>
                <w:u w:val="single"/>
              </w:rPr>
              <w:t>COMMISSION JURISDICTION OVER</w:t>
            </w:r>
            <w:r>
              <w:t xml:space="preserve"> [</w:t>
            </w:r>
            <w:r>
              <w:rPr>
                <w:strike/>
              </w:rPr>
              <w:t>CERTAIN</w:t>
            </w:r>
            <w:r>
              <w:t>]</w:t>
            </w:r>
          </w:p>
          <w:p w:rsidR="00476719" w14:paraId="14BCA956" w14:textId="77777777">
            <w:pPr>
              <w:jc w:val="both"/>
            </w:pPr>
            <w:r>
              <w:t>HISTORIC SITES</w:t>
            </w:r>
          </w:p>
          <w:p w:rsidR="00476719" w14:paraId="24B90B9B" w14:textId="77777777">
            <w:pPr>
              <w:jc w:val="both"/>
            </w:pPr>
          </w:p>
        </w:tc>
        <w:tc>
          <w:tcPr>
            <w:tcW w:w="6480" w:type="dxa"/>
          </w:tcPr>
          <w:p w:rsidR="00476719" w14:paraId="69FEF819" w14:textId="77777777">
            <w:pPr>
              <w:jc w:val="both"/>
            </w:pPr>
            <w:r>
              <w:t>SECTION 3. Same as House version.</w:t>
            </w:r>
          </w:p>
          <w:p w:rsidR="00476719" w14:paraId="7580B929" w14:textId="77777777">
            <w:pPr>
              <w:jc w:val="both"/>
            </w:pPr>
          </w:p>
          <w:p w:rsidR="00476719" w14:paraId="664C512E" w14:textId="77777777">
            <w:pPr>
              <w:jc w:val="both"/>
            </w:pPr>
          </w:p>
        </w:tc>
        <w:tc>
          <w:tcPr>
            <w:tcW w:w="5760" w:type="dxa"/>
          </w:tcPr>
          <w:p w:rsidR="00476719" w14:paraId="18D33225" w14:textId="77777777">
            <w:pPr>
              <w:jc w:val="both"/>
            </w:pPr>
          </w:p>
        </w:tc>
      </w:tr>
      <w:tr w14:paraId="0D5FEFBA" w14:textId="77777777">
        <w:tblPrEx>
          <w:tblW w:w="4820" w:type="pct"/>
          <w:tblInd w:w="6" w:type="dxa"/>
          <w:tblLayout w:type="fixed"/>
          <w:tblCellMar>
            <w:left w:w="0" w:type="dxa"/>
            <w:bottom w:w="288" w:type="dxa"/>
            <w:right w:w="720" w:type="dxa"/>
          </w:tblCellMar>
          <w:tblLook w:val="01E0"/>
        </w:tblPrEx>
        <w:tc>
          <w:tcPr>
            <w:tcW w:w="6473" w:type="dxa"/>
          </w:tcPr>
          <w:p w:rsidR="00476719" w14:paraId="62303DF5" w14:textId="77777777">
            <w:pPr>
              <w:jc w:val="both"/>
            </w:pPr>
            <w:r>
              <w:t>SECTION 4.  Section 442.071, Government Code, is amended to read as follows:</w:t>
            </w:r>
          </w:p>
          <w:p w:rsidR="00476719" w14:paraId="6FC5CF45" w14:textId="77777777">
            <w:pPr>
              <w:jc w:val="both"/>
            </w:pPr>
            <w:r>
              <w:t xml:space="preserve">Sec. 442.071.  DEFINITION.  In this subchapter, "historic site" means </w:t>
            </w:r>
            <w:r>
              <w:rPr>
                <w:u w:val="single"/>
              </w:rPr>
              <w:t>real property significant to the history of this state that the commission administers or acquires for use by the public</w:t>
            </w:r>
            <w:r>
              <w:t xml:space="preserve"> </w:t>
            </w:r>
            <w:r w:rsidRPr="00894E40">
              <w:rPr>
                <w:highlight w:val="lightGray"/>
              </w:rPr>
              <w:t>[</w:t>
            </w:r>
            <w:r w:rsidRPr="00894E40">
              <w:rPr>
                <w:strike/>
                <w:highlight w:val="lightGray"/>
              </w:rPr>
              <w:t>a site or park listed under Section 442.072</w:t>
            </w:r>
            <w:r w:rsidRPr="00894E40">
              <w:rPr>
                <w:highlight w:val="lightGray"/>
              </w:rPr>
              <w:t>].</w:t>
            </w:r>
          </w:p>
          <w:p w:rsidR="00476719" w14:paraId="12AD8028" w14:textId="77777777">
            <w:pPr>
              <w:jc w:val="both"/>
            </w:pPr>
          </w:p>
        </w:tc>
        <w:tc>
          <w:tcPr>
            <w:tcW w:w="6480" w:type="dxa"/>
          </w:tcPr>
          <w:p w:rsidR="00476719" w14:paraId="251A3C33" w14:textId="77777777">
            <w:pPr>
              <w:jc w:val="both"/>
            </w:pPr>
            <w:r>
              <w:t>SECTION 4.  Section 442.071, Government Code, is amended to read as follows:</w:t>
            </w:r>
          </w:p>
          <w:p w:rsidR="00476719" w14:paraId="7A8436CF" w14:textId="77777777">
            <w:pPr>
              <w:jc w:val="both"/>
            </w:pPr>
            <w:r>
              <w:t>Sec. 442.071.  DEFINITION.  In this subchapter, "historic site" means</w:t>
            </w:r>
            <w:r>
              <w:rPr>
                <w:u w:val="single"/>
              </w:rPr>
              <w:t>:</w:t>
            </w:r>
          </w:p>
          <w:p w:rsidR="00476719" w14:paraId="3D378B93" w14:textId="77777777">
            <w:pPr>
              <w:jc w:val="both"/>
            </w:pPr>
            <w:r w:rsidRPr="00894E40">
              <w:rPr>
                <w:highlight w:val="lightGray"/>
                <w:u w:val="single"/>
              </w:rPr>
              <w:t>(1)</w:t>
            </w:r>
            <w:r w:rsidRPr="00894E40">
              <w:rPr>
                <w:highlight w:val="lightGray"/>
              </w:rPr>
              <w:t xml:space="preserve">  a site [</w:t>
            </w:r>
            <w:r w:rsidRPr="00894E40">
              <w:rPr>
                <w:strike/>
                <w:highlight w:val="lightGray"/>
              </w:rPr>
              <w:t>or park</w:t>
            </w:r>
            <w:r w:rsidRPr="00894E40">
              <w:rPr>
                <w:highlight w:val="lightGray"/>
              </w:rPr>
              <w:t>] listed under Section 442.072</w:t>
            </w:r>
            <w:r w:rsidRPr="00894E40">
              <w:rPr>
                <w:highlight w:val="lightGray"/>
                <w:u w:val="single"/>
              </w:rPr>
              <w:t>; or</w:t>
            </w:r>
          </w:p>
          <w:p w:rsidR="00476719" w14:paraId="16F2614B" w14:textId="77777777">
            <w:pPr>
              <w:jc w:val="both"/>
            </w:pPr>
            <w:r w:rsidRPr="00894E40">
              <w:rPr>
                <w:highlight w:val="lightGray"/>
                <w:u w:val="single"/>
              </w:rPr>
              <w:t>(2)</w:t>
            </w:r>
            <w:r>
              <w:rPr>
                <w:u w:val="single"/>
              </w:rPr>
              <w:t xml:space="preserve">  real property significant to the history of this state that the commission administers or acquires for use by the public</w:t>
            </w:r>
            <w:r>
              <w:t>.</w:t>
            </w:r>
          </w:p>
          <w:p w:rsidR="00476719" w14:paraId="6B8B3A62" w14:textId="77777777">
            <w:pPr>
              <w:jc w:val="both"/>
            </w:pPr>
          </w:p>
        </w:tc>
        <w:tc>
          <w:tcPr>
            <w:tcW w:w="5760" w:type="dxa"/>
          </w:tcPr>
          <w:p w:rsidR="00476719" w14:paraId="574BAE06" w14:textId="77777777">
            <w:pPr>
              <w:jc w:val="both"/>
            </w:pPr>
          </w:p>
        </w:tc>
      </w:tr>
      <w:tr w14:paraId="1B1E9A91" w14:textId="77777777">
        <w:tblPrEx>
          <w:tblW w:w="4820" w:type="pct"/>
          <w:tblInd w:w="6" w:type="dxa"/>
          <w:tblLayout w:type="fixed"/>
          <w:tblCellMar>
            <w:left w:w="0" w:type="dxa"/>
            <w:bottom w:w="288" w:type="dxa"/>
            <w:right w:w="720" w:type="dxa"/>
          </w:tblCellMar>
          <w:tblLook w:val="01E0"/>
        </w:tblPrEx>
        <w:tc>
          <w:tcPr>
            <w:tcW w:w="6473" w:type="dxa"/>
          </w:tcPr>
          <w:p w:rsidR="00476719" w14:paraId="347C7A5A" w14:textId="77777777">
            <w:pPr>
              <w:jc w:val="both"/>
            </w:pPr>
            <w:r>
              <w:t>SECTION 5.  Section 442.072, Government Code, is amended to read as follows:</w:t>
            </w:r>
          </w:p>
          <w:p w:rsidR="00476719" w14:paraId="266EA8FC" w14:textId="77777777">
            <w:pPr>
              <w:jc w:val="both"/>
            </w:pPr>
            <w:r>
              <w:t xml:space="preserve">Sec. 442.072.  </w:t>
            </w:r>
            <w:r>
              <w:rPr>
                <w:u w:val="single"/>
              </w:rPr>
              <w:t>COMMISSION</w:t>
            </w:r>
            <w:r>
              <w:t xml:space="preserve"> JURISDICTION</w:t>
            </w:r>
            <w:r>
              <w:rPr>
                <w:u w:val="single"/>
              </w:rPr>
              <w:t>; AGREEMENTS FOR HISTORIC SITES</w:t>
            </w:r>
            <w:r>
              <w:t xml:space="preserve">.  (a)  The </w:t>
            </w:r>
            <w:r w:rsidRPr="00894E40">
              <w:rPr>
                <w:highlight w:val="lightGray"/>
                <w:u w:val="single"/>
              </w:rPr>
              <w:t xml:space="preserve">commission has jurisdiction </w:t>
            </w:r>
            <w:r w:rsidRPr="00AE2285">
              <w:rPr>
                <w:highlight w:val="lightGray"/>
                <w:u w:val="single"/>
              </w:rPr>
              <w:t>over</w:t>
            </w:r>
            <w:r w:rsidRPr="00AE2285">
              <w:rPr>
                <w:highlight w:val="lightGray"/>
              </w:rPr>
              <w:t xml:space="preserve"> [</w:t>
            </w:r>
            <w:r w:rsidRPr="00AE2285">
              <w:rPr>
                <w:strike/>
                <w:highlight w:val="lightGray"/>
              </w:rPr>
              <w:t>following</w:t>
            </w:r>
            <w:r w:rsidRPr="00AE2285">
              <w:rPr>
                <w:highlight w:val="lightGray"/>
              </w:rPr>
              <w:t>]</w:t>
            </w:r>
            <w:r>
              <w:t xml:space="preserve"> historic sites</w:t>
            </w:r>
            <w:r w:rsidRPr="00AE2285">
              <w:rPr>
                <w:highlight w:val="lightGray"/>
                <w:u w:val="single"/>
              </w:rPr>
              <w:t>, as defined</w:t>
            </w:r>
            <w:r>
              <w:rPr>
                <w:u w:val="single"/>
              </w:rPr>
              <w:t xml:space="preserve"> </w:t>
            </w:r>
            <w:r w:rsidRPr="00894E40">
              <w:rPr>
                <w:highlight w:val="lightGray"/>
                <w:u w:val="single"/>
              </w:rPr>
              <w:t>by Section 442.071</w:t>
            </w:r>
            <w:r>
              <w:rPr>
                <w:u w:val="single"/>
              </w:rPr>
              <w:t>, in this state</w:t>
            </w:r>
            <w:r>
              <w:t xml:space="preserve"> [</w:t>
            </w:r>
            <w:r>
              <w:rPr>
                <w:strike/>
              </w:rPr>
              <w:t xml:space="preserve">and parks </w:t>
            </w:r>
            <w:r w:rsidRPr="00AE2285">
              <w:rPr>
                <w:strike/>
                <w:highlight w:val="lightGray"/>
              </w:rPr>
              <w:t>are under the commission's jurisdiction:</w:t>
            </w:r>
          </w:p>
          <w:p w:rsidR="00476719" w:rsidRPr="00AE2285" w14:paraId="7E55A0A9" w14:textId="77777777">
            <w:pPr>
              <w:jc w:val="both"/>
              <w:rPr>
                <w:highlight w:val="lightGray"/>
              </w:rPr>
            </w:pPr>
            <w:r w:rsidRPr="00AE2285">
              <w:rPr>
                <w:highlight w:val="lightGray"/>
              </w:rPr>
              <w:t>[</w:t>
            </w:r>
            <w:r w:rsidRPr="00AE2285">
              <w:rPr>
                <w:strike/>
                <w:highlight w:val="lightGray"/>
              </w:rPr>
              <w:t>(1)  Acton State Historic Site;</w:t>
            </w:r>
          </w:p>
          <w:p w:rsidR="00476719" w:rsidRPr="00AE2285" w14:paraId="360180C9" w14:textId="77777777">
            <w:pPr>
              <w:jc w:val="both"/>
              <w:rPr>
                <w:highlight w:val="lightGray"/>
              </w:rPr>
            </w:pPr>
            <w:r w:rsidRPr="00AE2285">
              <w:rPr>
                <w:highlight w:val="lightGray"/>
              </w:rPr>
              <w:t>[</w:t>
            </w:r>
            <w:r w:rsidRPr="00AE2285">
              <w:rPr>
                <w:strike/>
                <w:highlight w:val="lightGray"/>
              </w:rPr>
              <w:t>(2)  Caddoan Mounds State Historic Site;</w:t>
            </w:r>
          </w:p>
          <w:p w:rsidR="00476719" w:rsidRPr="00AE2285" w14:paraId="72B66F91" w14:textId="77777777">
            <w:pPr>
              <w:jc w:val="both"/>
              <w:rPr>
                <w:highlight w:val="lightGray"/>
              </w:rPr>
            </w:pPr>
            <w:r w:rsidRPr="00AE2285">
              <w:rPr>
                <w:highlight w:val="lightGray"/>
              </w:rPr>
              <w:t>[</w:t>
            </w:r>
            <w:r w:rsidRPr="00AE2285">
              <w:rPr>
                <w:strike/>
                <w:highlight w:val="lightGray"/>
              </w:rPr>
              <w:t>(3)  Casa Navarro State Historic Site;</w:t>
            </w:r>
          </w:p>
          <w:p w:rsidR="00476719" w:rsidRPr="00AE2285" w14:paraId="5BE2F1A1" w14:textId="77777777">
            <w:pPr>
              <w:jc w:val="both"/>
              <w:rPr>
                <w:highlight w:val="lightGray"/>
              </w:rPr>
            </w:pPr>
            <w:r w:rsidRPr="00AE2285">
              <w:rPr>
                <w:highlight w:val="lightGray"/>
              </w:rPr>
              <w:t>[</w:t>
            </w:r>
            <w:r w:rsidRPr="00AE2285">
              <w:rPr>
                <w:strike/>
                <w:highlight w:val="lightGray"/>
              </w:rPr>
              <w:t>(4)  Confederate Reunion Grounds State Historic Site;</w:t>
            </w:r>
          </w:p>
          <w:p w:rsidR="00476719" w:rsidRPr="00AE2285" w14:paraId="2C5C9351" w14:textId="77777777">
            <w:pPr>
              <w:jc w:val="both"/>
              <w:rPr>
                <w:highlight w:val="lightGray"/>
              </w:rPr>
            </w:pPr>
            <w:r w:rsidRPr="00AE2285">
              <w:rPr>
                <w:highlight w:val="lightGray"/>
              </w:rPr>
              <w:t>[</w:t>
            </w:r>
            <w:r w:rsidRPr="00AE2285">
              <w:rPr>
                <w:strike/>
                <w:highlight w:val="lightGray"/>
              </w:rPr>
              <w:t>(5)  Eisenhower Birthplace State Historic Site;</w:t>
            </w:r>
          </w:p>
          <w:p w:rsidR="00476719" w:rsidRPr="00AE2285" w14:paraId="768C5E7E" w14:textId="77777777">
            <w:pPr>
              <w:jc w:val="both"/>
              <w:rPr>
                <w:highlight w:val="lightGray"/>
              </w:rPr>
            </w:pPr>
            <w:r w:rsidRPr="00AE2285">
              <w:rPr>
                <w:highlight w:val="lightGray"/>
              </w:rPr>
              <w:t>[</w:t>
            </w:r>
            <w:r w:rsidRPr="00AE2285">
              <w:rPr>
                <w:strike/>
                <w:highlight w:val="lightGray"/>
              </w:rPr>
              <w:t>(6)  Fannin Battleground State Historic Site;</w:t>
            </w:r>
          </w:p>
          <w:p w:rsidR="00476719" w:rsidRPr="00AE2285" w14:paraId="02120056" w14:textId="77777777">
            <w:pPr>
              <w:jc w:val="both"/>
              <w:rPr>
                <w:highlight w:val="lightGray"/>
              </w:rPr>
            </w:pPr>
            <w:r w:rsidRPr="00AE2285">
              <w:rPr>
                <w:highlight w:val="lightGray"/>
              </w:rPr>
              <w:t>[</w:t>
            </w:r>
            <w:r w:rsidRPr="00AE2285">
              <w:rPr>
                <w:strike/>
                <w:highlight w:val="lightGray"/>
              </w:rPr>
              <w:t xml:space="preserve">(7)  </w:t>
            </w:r>
            <w:r w:rsidRPr="00AE2285">
              <w:rPr>
                <w:strike/>
                <w:highlight w:val="lightGray"/>
              </w:rPr>
              <w:t>Fanthorp</w:t>
            </w:r>
            <w:r w:rsidRPr="00AE2285">
              <w:rPr>
                <w:strike/>
                <w:highlight w:val="lightGray"/>
              </w:rPr>
              <w:t xml:space="preserve"> Inn State Historic Site;</w:t>
            </w:r>
          </w:p>
          <w:p w:rsidR="00476719" w:rsidRPr="00AE2285" w14:paraId="07A3A0C3" w14:textId="77777777">
            <w:pPr>
              <w:jc w:val="both"/>
              <w:rPr>
                <w:highlight w:val="lightGray"/>
              </w:rPr>
            </w:pPr>
            <w:r w:rsidRPr="00AE2285">
              <w:rPr>
                <w:highlight w:val="lightGray"/>
              </w:rPr>
              <w:t>[</w:t>
            </w:r>
            <w:r w:rsidRPr="00AE2285">
              <w:rPr>
                <w:strike/>
                <w:highlight w:val="lightGray"/>
              </w:rPr>
              <w:t>(8)  Fort Griffin State Historic Site;</w:t>
            </w:r>
          </w:p>
          <w:p w:rsidR="00476719" w:rsidRPr="00AE2285" w14:paraId="2B5B1131" w14:textId="77777777">
            <w:pPr>
              <w:jc w:val="both"/>
              <w:rPr>
                <w:highlight w:val="lightGray"/>
              </w:rPr>
            </w:pPr>
            <w:r w:rsidRPr="00AE2285">
              <w:rPr>
                <w:highlight w:val="lightGray"/>
              </w:rPr>
              <w:t>[</w:t>
            </w:r>
            <w:r w:rsidRPr="00AE2285">
              <w:rPr>
                <w:strike/>
                <w:highlight w:val="lightGray"/>
              </w:rPr>
              <w:t>(9)  Fort Lancaster State Historic Site;</w:t>
            </w:r>
          </w:p>
          <w:p w:rsidR="00476719" w:rsidRPr="00AE2285" w14:paraId="5FAF3FAF" w14:textId="77777777">
            <w:pPr>
              <w:jc w:val="both"/>
              <w:rPr>
                <w:highlight w:val="lightGray"/>
              </w:rPr>
            </w:pPr>
            <w:r w:rsidRPr="00AE2285">
              <w:rPr>
                <w:highlight w:val="lightGray"/>
              </w:rPr>
              <w:t>[</w:t>
            </w:r>
            <w:r w:rsidRPr="00AE2285">
              <w:rPr>
                <w:strike/>
                <w:highlight w:val="lightGray"/>
              </w:rPr>
              <w:t xml:space="preserve">(10)  Fort </w:t>
            </w:r>
            <w:r w:rsidRPr="00AE2285">
              <w:rPr>
                <w:strike/>
                <w:highlight w:val="lightGray"/>
              </w:rPr>
              <w:t>McKavett</w:t>
            </w:r>
            <w:r w:rsidRPr="00AE2285">
              <w:rPr>
                <w:strike/>
                <w:highlight w:val="lightGray"/>
              </w:rPr>
              <w:t xml:space="preserve"> State Historic Site;</w:t>
            </w:r>
          </w:p>
          <w:p w:rsidR="00476719" w:rsidRPr="00AE2285" w14:paraId="612B04AF" w14:textId="77777777">
            <w:pPr>
              <w:jc w:val="both"/>
              <w:rPr>
                <w:highlight w:val="lightGray"/>
              </w:rPr>
            </w:pPr>
            <w:r w:rsidRPr="00AE2285">
              <w:rPr>
                <w:highlight w:val="lightGray"/>
              </w:rPr>
              <w:t>[</w:t>
            </w:r>
            <w:r w:rsidRPr="00AE2285">
              <w:rPr>
                <w:strike/>
                <w:highlight w:val="lightGray"/>
              </w:rPr>
              <w:t>(11)  Fulton Mansion State Historic Site;</w:t>
            </w:r>
          </w:p>
          <w:p w:rsidR="00476719" w:rsidRPr="00AE2285" w14:paraId="4A5FA981" w14:textId="77777777">
            <w:pPr>
              <w:jc w:val="both"/>
              <w:rPr>
                <w:highlight w:val="lightGray"/>
              </w:rPr>
            </w:pPr>
            <w:r w:rsidRPr="00AE2285">
              <w:rPr>
                <w:highlight w:val="lightGray"/>
              </w:rPr>
              <w:t>[</w:t>
            </w:r>
            <w:r w:rsidRPr="00AE2285">
              <w:rPr>
                <w:strike/>
                <w:highlight w:val="lightGray"/>
              </w:rPr>
              <w:t>(12)  Landmark Inn State Historic Site;</w:t>
            </w:r>
          </w:p>
          <w:p w:rsidR="00476719" w:rsidRPr="00AE2285" w14:paraId="52F6A456" w14:textId="77777777">
            <w:pPr>
              <w:jc w:val="both"/>
              <w:rPr>
                <w:highlight w:val="lightGray"/>
              </w:rPr>
            </w:pPr>
            <w:r w:rsidRPr="00AE2285">
              <w:rPr>
                <w:highlight w:val="lightGray"/>
              </w:rPr>
              <w:t>[</w:t>
            </w:r>
            <w:r w:rsidRPr="00AE2285">
              <w:rPr>
                <w:strike/>
                <w:highlight w:val="lightGray"/>
              </w:rPr>
              <w:t>(13)  Levi Jordan State Historic Site;</w:t>
            </w:r>
          </w:p>
          <w:p w:rsidR="00476719" w:rsidRPr="00AE2285" w14:paraId="5B0B555A" w14:textId="77777777">
            <w:pPr>
              <w:jc w:val="both"/>
              <w:rPr>
                <w:highlight w:val="lightGray"/>
              </w:rPr>
            </w:pPr>
            <w:r w:rsidRPr="00AE2285">
              <w:rPr>
                <w:highlight w:val="lightGray"/>
              </w:rPr>
              <w:t>[</w:t>
            </w:r>
            <w:r w:rsidRPr="00AE2285">
              <w:rPr>
                <w:strike/>
                <w:highlight w:val="lightGray"/>
              </w:rPr>
              <w:t xml:space="preserve">(14)  </w:t>
            </w:r>
            <w:r w:rsidRPr="00AE2285">
              <w:rPr>
                <w:strike/>
                <w:highlight w:val="lightGray"/>
              </w:rPr>
              <w:t>Lipantitlan</w:t>
            </w:r>
            <w:r w:rsidRPr="00AE2285">
              <w:rPr>
                <w:strike/>
                <w:highlight w:val="lightGray"/>
              </w:rPr>
              <w:t xml:space="preserve"> State Historic Site;</w:t>
            </w:r>
          </w:p>
          <w:p w:rsidR="00476719" w:rsidRPr="00AE2285" w14:paraId="5CD63CEE" w14:textId="77777777">
            <w:pPr>
              <w:jc w:val="both"/>
              <w:rPr>
                <w:highlight w:val="lightGray"/>
              </w:rPr>
            </w:pPr>
            <w:r w:rsidRPr="00AE2285">
              <w:rPr>
                <w:highlight w:val="lightGray"/>
              </w:rPr>
              <w:t>[</w:t>
            </w:r>
            <w:r w:rsidRPr="00AE2285">
              <w:rPr>
                <w:strike/>
                <w:highlight w:val="lightGray"/>
              </w:rPr>
              <w:t>(15)  Magoffin Home State Historic Site;</w:t>
            </w:r>
          </w:p>
          <w:p w:rsidR="00476719" w:rsidRPr="00AE2285" w14:paraId="21EC4B22" w14:textId="77777777">
            <w:pPr>
              <w:jc w:val="both"/>
              <w:rPr>
                <w:highlight w:val="lightGray"/>
              </w:rPr>
            </w:pPr>
            <w:r w:rsidRPr="00AE2285">
              <w:rPr>
                <w:highlight w:val="lightGray"/>
              </w:rPr>
              <w:t>[</w:t>
            </w:r>
            <w:r w:rsidRPr="00AE2285">
              <w:rPr>
                <w:strike/>
                <w:highlight w:val="lightGray"/>
              </w:rPr>
              <w:t>(16)  Mission Dolores State Historic Site;</w:t>
            </w:r>
          </w:p>
          <w:p w:rsidR="00476719" w:rsidRPr="00AE2285" w14:paraId="010B1492" w14:textId="77777777">
            <w:pPr>
              <w:jc w:val="both"/>
              <w:rPr>
                <w:highlight w:val="lightGray"/>
              </w:rPr>
            </w:pPr>
            <w:r w:rsidRPr="00AE2285">
              <w:rPr>
                <w:highlight w:val="lightGray"/>
              </w:rPr>
              <w:t>[</w:t>
            </w:r>
            <w:r w:rsidRPr="00AE2285">
              <w:rPr>
                <w:strike/>
                <w:highlight w:val="lightGray"/>
              </w:rPr>
              <w:t xml:space="preserve">(17)  Monument Hill and </w:t>
            </w:r>
            <w:r w:rsidRPr="00AE2285">
              <w:rPr>
                <w:strike/>
                <w:highlight w:val="lightGray"/>
              </w:rPr>
              <w:t>Kreische</w:t>
            </w:r>
            <w:r w:rsidRPr="00AE2285">
              <w:rPr>
                <w:strike/>
                <w:highlight w:val="lightGray"/>
              </w:rPr>
              <w:t xml:space="preserve"> Brewery State Historic Sites;</w:t>
            </w:r>
          </w:p>
          <w:p w:rsidR="00476719" w:rsidRPr="00AE2285" w14:paraId="2120E7E1" w14:textId="77777777">
            <w:pPr>
              <w:jc w:val="both"/>
              <w:rPr>
                <w:highlight w:val="lightGray"/>
              </w:rPr>
            </w:pPr>
            <w:r w:rsidRPr="00AE2285">
              <w:rPr>
                <w:highlight w:val="lightGray"/>
              </w:rPr>
              <w:t>[</w:t>
            </w:r>
            <w:r w:rsidRPr="00AE2285">
              <w:rPr>
                <w:strike/>
                <w:highlight w:val="lightGray"/>
              </w:rPr>
              <w:t>(18)  National Museum of the Pacific War;</w:t>
            </w:r>
          </w:p>
          <w:p w:rsidR="00476719" w:rsidRPr="00AE2285" w14:paraId="066C571E" w14:textId="77777777">
            <w:pPr>
              <w:jc w:val="both"/>
              <w:rPr>
                <w:highlight w:val="lightGray"/>
              </w:rPr>
            </w:pPr>
            <w:r w:rsidRPr="00AE2285">
              <w:rPr>
                <w:highlight w:val="lightGray"/>
              </w:rPr>
              <w:t>[</w:t>
            </w:r>
            <w:r w:rsidRPr="00AE2285">
              <w:rPr>
                <w:strike/>
                <w:highlight w:val="lightGray"/>
              </w:rPr>
              <w:t>(19)  Sabine Pass Battleground State Historic Site;</w:t>
            </w:r>
          </w:p>
          <w:p w:rsidR="00476719" w:rsidRPr="00AE2285" w14:paraId="0556D79B" w14:textId="77777777">
            <w:pPr>
              <w:jc w:val="both"/>
              <w:rPr>
                <w:highlight w:val="lightGray"/>
              </w:rPr>
            </w:pPr>
            <w:r w:rsidRPr="00AE2285">
              <w:rPr>
                <w:highlight w:val="lightGray"/>
              </w:rPr>
              <w:t>[</w:t>
            </w:r>
            <w:r w:rsidRPr="00AE2285">
              <w:rPr>
                <w:strike/>
                <w:highlight w:val="lightGray"/>
              </w:rPr>
              <w:t>(20)  Sam Bell Maxey House State Historic Site;</w:t>
            </w:r>
          </w:p>
          <w:p w:rsidR="00476719" w:rsidRPr="00AE2285" w14:paraId="6F9A0BE4" w14:textId="77777777">
            <w:pPr>
              <w:jc w:val="both"/>
              <w:rPr>
                <w:highlight w:val="lightGray"/>
              </w:rPr>
            </w:pPr>
            <w:r w:rsidRPr="00AE2285">
              <w:rPr>
                <w:highlight w:val="lightGray"/>
              </w:rPr>
              <w:t>[</w:t>
            </w:r>
            <w:r w:rsidRPr="00AE2285">
              <w:rPr>
                <w:strike/>
                <w:highlight w:val="lightGray"/>
              </w:rPr>
              <w:t>(21)  Sam Rayburn House State Historic Site;</w:t>
            </w:r>
          </w:p>
          <w:p w:rsidR="00476719" w:rsidRPr="00AE2285" w14:paraId="03C72354" w14:textId="77777777">
            <w:pPr>
              <w:jc w:val="both"/>
              <w:rPr>
                <w:highlight w:val="lightGray"/>
              </w:rPr>
            </w:pPr>
            <w:r w:rsidRPr="00AE2285">
              <w:rPr>
                <w:highlight w:val="lightGray"/>
              </w:rPr>
              <w:t>[</w:t>
            </w:r>
            <w:r w:rsidRPr="00AE2285">
              <w:rPr>
                <w:strike/>
                <w:highlight w:val="lightGray"/>
              </w:rPr>
              <w:t>(22)  San Felipe State Historic Site;</w:t>
            </w:r>
          </w:p>
          <w:p w:rsidR="00476719" w:rsidRPr="00AE2285" w14:paraId="09A30232" w14:textId="77777777">
            <w:pPr>
              <w:jc w:val="both"/>
              <w:rPr>
                <w:highlight w:val="lightGray"/>
              </w:rPr>
            </w:pPr>
            <w:r w:rsidRPr="00AE2285">
              <w:rPr>
                <w:highlight w:val="lightGray"/>
              </w:rPr>
              <w:t>[</w:t>
            </w:r>
            <w:r w:rsidRPr="00AE2285">
              <w:rPr>
                <w:strike/>
                <w:highlight w:val="lightGray"/>
              </w:rPr>
              <w:t>(23)  Starr Family Home State Historic Site;</w:t>
            </w:r>
          </w:p>
          <w:p w:rsidR="00476719" w:rsidRPr="00AE2285" w14:paraId="4D97DFE0" w14:textId="77777777">
            <w:pPr>
              <w:jc w:val="both"/>
              <w:rPr>
                <w:highlight w:val="lightGray"/>
              </w:rPr>
            </w:pPr>
            <w:r w:rsidRPr="00AE2285">
              <w:rPr>
                <w:highlight w:val="lightGray"/>
              </w:rPr>
              <w:t>[</w:t>
            </w:r>
            <w:r w:rsidRPr="00AE2285">
              <w:rPr>
                <w:strike/>
                <w:highlight w:val="lightGray"/>
              </w:rPr>
              <w:t>(24)  Varner-Hogg Plantation State Historic Site;</w:t>
            </w:r>
          </w:p>
          <w:p w:rsidR="00476719" w:rsidRPr="00AE2285" w14:paraId="5674788E" w14:textId="77777777">
            <w:pPr>
              <w:jc w:val="both"/>
              <w:rPr>
                <w:highlight w:val="lightGray"/>
              </w:rPr>
            </w:pPr>
            <w:r w:rsidRPr="00AE2285">
              <w:rPr>
                <w:highlight w:val="lightGray"/>
              </w:rPr>
              <w:t>[</w:t>
            </w:r>
            <w:r w:rsidRPr="00AE2285">
              <w:rPr>
                <w:strike/>
                <w:highlight w:val="lightGray"/>
              </w:rPr>
              <w:t>(25)  Washington-on-the-Brazos State Historic Site; and</w:t>
            </w:r>
          </w:p>
          <w:p w:rsidR="00476719" w14:paraId="4D41B3CE" w14:textId="77777777">
            <w:pPr>
              <w:jc w:val="both"/>
            </w:pPr>
            <w:r w:rsidRPr="00AE2285">
              <w:rPr>
                <w:highlight w:val="lightGray"/>
              </w:rPr>
              <w:t>[</w:t>
            </w:r>
            <w:r w:rsidRPr="00AE2285">
              <w:rPr>
                <w:strike/>
                <w:highlight w:val="lightGray"/>
              </w:rPr>
              <w:t>(26)   the property known as the French Legation</w:t>
            </w:r>
            <w:r w:rsidRPr="00AE2285">
              <w:rPr>
                <w:highlight w:val="lightGray"/>
              </w:rPr>
              <w:t>].</w:t>
            </w:r>
          </w:p>
          <w:p w:rsidR="00476719" w14:paraId="6C9BC5F7" w14:textId="77777777">
            <w:pPr>
              <w:jc w:val="both"/>
            </w:pPr>
            <w:r>
              <w:t>(b)  [</w:t>
            </w:r>
            <w:r>
              <w:rPr>
                <w:strike/>
              </w:rPr>
              <w:t>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  The commission has all powers necessary to operate the site in the required manner or for the required purpose.</w:t>
            </w:r>
          </w:p>
          <w:p w:rsidR="00476719" w14:paraId="2F0696A8" w14:textId="77777777">
            <w:pPr>
              <w:jc w:val="both"/>
            </w:pPr>
            <w:r>
              <w:t>[</w:t>
            </w:r>
            <w:r>
              <w:rPr>
                <w:strike/>
              </w:rPr>
              <w:t>(c)</w:t>
            </w:r>
            <w:r>
              <w:t>]  The commission may enter into an agreement with a nonprofit or for-profit corporation, foundation, association, or other nonprofit or for-profit entity for the expansion, renovation, management, operation, or financial support of a historic site.</w:t>
            </w:r>
          </w:p>
          <w:p w:rsidR="00476719" w14:paraId="2ACE83AC" w14:textId="77777777">
            <w:pPr>
              <w:jc w:val="both"/>
            </w:pPr>
          </w:p>
        </w:tc>
        <w:tc>
          <w:tcPr>
            <w:tcW w:w="6480" w:type="dxa"/>
          </w:tcPr>
          <w:p w:rsidR="00476719" w14:paraId="4F9E32C1" w14:textId="77777777">
            <w:pPr>
              <w:jc w:val="both"/>
            </w:pPr>
            <w:r>
              <w:t>SECTION 5.  Section 442.072, Government Code, is amended to read as follows:</w:t>
            </w:r>
          </w:p>
          <w:p w:rsidR="00476719" w14:paraId="030DE4B8" w14:textId="77777777">
            <w:pPr>
              <w:jc w:val="both"/>
            </w:pPr>
            <w:r>
              <w:t xml:space="preserve">Sec. 442.072.  </w:t>
            </w:r>
            <w:r>
              <w:rPr>
                <w:u w:val="single"/>
              </w:rPr>
              <w:t>COMMISSION</w:t>
            </w:r>
            <w:r>
              <w:t xml:space="preserve"> JURISDICTION</w:t>
            </w:r>
            <w:r>
              <w:rPr>
                <w:u w:val="single"/>
              </w:rPr>
              <w:t>; AGREEMENTS FOR HISTORIC SITES</w:t>
            </w:r>
            <w:r>
              <w:t xml:space="preserve">.  (a)  The following historic sites </w:t>
            </w:r>
            <w:r>
              <w:rPr>
                <w:u w:val="single"/>
              </w:rPr>
              <w:t>in this state</w:t>
            </w:r>
            <w:r>
              <w:t xml:space="preserve"> [</w:t>
            </w:r>
            <w:r>
              <w:rPr>
                <w:strike/>
              </w:rPr>
              <w:t>and parks</w:t>
            </w:r>
            <w:r>
              <w:t>] are under the commission's jurisdiction:</w:t>
            </w:r>
          </w:p>
          <w:p w:rsidR="00476719" w14:paraId="470C08B6" w14:textId="77777777">
            <w:pPr>
              <w:jc w:val="both"/>
            </w:pPr>
            <w:r w:rsidRPr="00894E40">
              <w:rPr>
                <w:highlight w:val="lightGray"/>
              </w:rPr>
              <w:t>(</w:t>
            </w:r>
            <w:r>
              <w:t>1)  Acton State Historic Site;</w:t>
            </w:r>
          </w:p>
          <w:p w:rsidR="00476719" w14:paraId="33B70BDB" w14:textId="77777777">
            <w:pPr>
              <w:jc w:val="both"/>
            </w:pPr>
            <w:r w:rsidRPr="00894E40">
              <w:rPr>
                <w:highlight w:val="lightGray"/>
              </w:rPr>
              <w:t>(</w:t>
            </w:r>
            <w:r>
              <w:t>2)  Caddoan Mounds State Historic Site;</w:t>
            </w:r>
          </w:p>
          <w:p w:rsidR="00476719" w14:paraId="104EA3F5" w14:textId="77777777">
            <w:pPr>
              <w:jc w:val="both"/>
            </w:pPr>
            <w:r w:rsidRPr="00894E40">
              <w:rPr>
                <w:highlight w:val="lightGray"/>
              </w:rPr>
              <w:t>(</w:t>
            </w:r>
            <w:r>
              <w:t>3)  Casa Navarro State Historic Site;</w:t>
            </w:r>
          </w:p>
          <w:p w:rsidR="00476719" w14:paraId="33F4A7DA" w14:textId="77777777">
            <w:pPr>
              <w:jc w:val="both"/>
            </w:pPr>
            <w:r w:rsidRPr="00894E40">
              <w:rPr>
                <w:highlight w:val="lightGray"/>
              </w:rPr>
              <w:t>(</w:t>
            </w:r>
            <w:r>
              <w:t>4)  Confederate Reunion Grounds State Historic Site;</w:t>
            </w:r>
          </w:p>
          <w:p w:rsidR="00476719" w14:paraId="4BD8125D" w14:textId="77777777">
            <w:pPr>
              <w:jc w:val="both"/>
            </w:pPr>
            <w:r w:rsidRPr="00894E40">
              <w:rPr>
                <w:highlight w:val="lightGray"/>
              </w:rPr>
              <w:t>(</w:t>
            </w:r>
            <w:r>
              <w:t>5)  Eisenhower Birthplace State Historic Site;</w:t>
            </w:r>
          </w:p>
          <w:p w:rsidR="00476719" w14:paraId="3B454E28" w14:textId="77777777">
            <w:pPr>
              <w:jc w:val="both"/>
            </w:pPr>
            <w:r w:rsidRPr="00894E40">
              <w:rPr>
                <w:highlight w:val="lightGray"/>
              </w:rPr>
              <w:t>(6</w:t>
            </w:r>
            <w:r>
              <w:t>)  Fannin Battleground State Historic Site;</w:t>
            </w:r>
          </w:p>
          <w:p w:rsidR="00476719" w14:paraId="6CD41C3C" w14:textId="77777777">
            <w:pPr>
              <w:jc w:val="both"/>
            </w:pPr>
            <w:r w:rsidRPr="00894E40">
              <w:rPr>
                <w:highlight w:val="lightGray"/>
              </w:rPr>
              <w:t>(</w:t>
            </w:r>
            <w:r>
              <w:t xml:space="preserve">7)  </w:t>
            </w:r>
            <w:r>
              <w:t>Fanthorp</w:t>
            </w:r>
            <w:r>
              <w:t xml:space="preserve"> Inn State Historic Site;</w:t>
            </w:r>
          </w:p>
          <w:p w:rsidR="00476719" w14:paraId="204C237C" w14:textId="77777777">
            <w:pPr>
              <w:jc w:val="both"/>
            </w:pPr>
            <w:r w:rsidRPr="00894E40">
              <w:rPr>
                <w:highlight w:val="lightGray"/>
              </w:rPr>
              <w:t>(</w:t>
            </w:r>
            <w:r>
              <w:t>8)  Fort Griffin State Historic Site;</w:t>
            </w:r>
          </w:p>
          <w:p w:rsidR="00476719" w14:paraId="23F9FEED" w14:textId="77777777">
            <w:pPr>
              <w:jc w:val="both"/>
            </w:pPr>
            <w:r w:rsidRPr="00894E40">
              <w:rPr>
                <w:highlight w:val="lightGray"/>
              </w:rPr>
              <w:t>(</w:t>
            </w:r>
            <w:r>
              <w:t>9)  Fort Lancaster State Historic Site;</w:t>
            </w:r>
          </w:p>
          <w:p w:rsidR="00476719" w14:paraId="48B58A63" w14:textId="77777777">
            <w:pPr>
              <w:jc w:val="both"/>
            </w:pPr>
            <w:r w:rsidRPr="00894E40">
              <w:rPr>
                <w:highlight w:val="lightGray"/>
              </w:rPr>
              <w:t>(</w:t>
            </w:r>
            <w:r>
              <w:t xml:space="preserve">10)  Fort </w:t>
            </w:r>
            <w:r>
              <w:t>McKavett</w:t>
            </w:r>
            <w:r>
              <w:t xml:space="preserve"> State Historic Site;</w:t>
            </w:r>
          </w:p>
          <w:p w:rsidR="00476719" w14:paraId="778ACBF5" w14:textId="77777777">
            <w:pPr>
              <w:jc w:val="both"/>
            </w:pPr>
            <w:r w:rsidRPr="00894E40">
              <w:rPr>
                <w:highlight w:val="lightGray"/>
              </w:rPr>
              <w:t>(</w:t>
            </w:r>
            <w:r>
              <w:t>11)  Fulton Mansion State Historic Site;</w:t>
            </w:r>
          </w:p>
          <w:p w:rsidR="00476719" w14:paraId="22BF6799" w14:textId="77777777">
            <w:pPr>
              <w:jc w:val="both"/>
            </w:pPr>
            <w:r w:rsidRPr="00894E40">
              <w:rPr>
                <w:highlight w:val="lightGray"/>
              </w:rPr>
              <w:t>(</w:t>
            </w:r>
            <w:r>
              <w:t>12)  Landmark Inn State Historic Site;</w:t>
            </w:r>
          </w:p>
          <w:p w:rsidR="00476719" w14:paraId="23F61A25" w14:textId="77777777">
            <w:pPr>
              <w:jc w:val="both"/>
            </w:pPr>
            <w:r w:rsidRPr="00894E40">
              <w:rPr>
                <w:highlight w:val="lightGray"/>
              </w:rPr>
              <w:t>(</w:t>
            </w:r>
            <w:r>
              <w:t>13)  Levi Jordan State Historic Site;</w:t>
            </w:r>
          </w:p>
          <w:p w:rsidR="00476719" w14:paraId="3355D4CF" w14:textId="77777777">
            <w:pPr>
              <w:jc w:val="both"/>
            </w:pPr>
            <w:r w:rsidRPr="00894E40">
              <w:rPr>
                <w:highlight w:val="lightGray"/>
              </w:rPr>
              <w:t>(</w:t>
            </w:r>
            <w:r>
              <w:t xml:space="preserve">14)  </w:t>
            </w:r>
            <w:r>
              <w:t>Lipantitlan</w:t>
            </w:r>
            <w:r>
              <w:t xml:space="preserve"> State Historic Site;</w:t>
            </w:r>
          </w:p>
          <w:p w:rsidR="00476719" w14:paraId="7ED1DB18" w14:textId="77777777">
            <w:pPr>
              <w:jc w:val="both"/>
            </w:pPr>
            <w:r w:rsidRPr="00894E40">
              <w:rPr>
                <w:highlight w:val="lightGray"/>
              </w:rPr>
              <w:t>(</w:t>
            </w:r>
            <w:r>
              <w:t>15)  Magoffin Home State Historic Site;</w:t>
            </w:r>
          </w:p>
          <w:p w:rsidR="00476719" w14:paraId="53CF1603" w14:textId="77777777">
            <w:pPr>
              <w:jc w:val="both"/>
            </w:pPr>
            <w:r w:rsidRPr="00894E40">
              <w:rPr>
                <w:highlight w:val="lightGray"/>
              </w:rPr>
              <w:t>(</w:t>
            </w:r>
            <w:r>
              <w:t>16)  Mission Dolores State Historic Site;</w:t>
            </w:r>
          </w:p>
          <w:p w:rsidR="00476719" w14:paraId="4A8C5951" w14:textId="77777777">
            <w:pPr>
              <w:jc w:val="both"/>
            </w:pPr>
            <w:r w:rsidRPr="00894E40">
              <w:rPr>
                <w:highlight w:val="lightGray"/>
              </w:rPr>
              <w:t>(</w:t>
            </w:r>
            <w:r>
              <w:t xml:space="preserve">17)  Monument Hill and </w:t>
            </w:r>
            <w:r>
              <w:t>Kreische</w:t>
            </w:r>
            <w:r>
              <w:t xml:space="preserve"> Brewery State Historic Sites;</w:t>
            </w:r>
          </w:p>
          <w:p w:rsidR="00476719" w14:paraId="054B454E" w14:textId="77777777">
            <w:pPr>
              <w:jc w:val="both"/>
            </w:pPr>
            <w:r w:rsidRPr="00894E40">
              <w:rPr>
                <w:highlight w:val="lightGray"/>
              </w:rPr>
              <w:t>(</w:t>
            </w:r>
            <w:r>
              <w:t>18)  National Museum of the Pacific War;</w:t>
            </w:r>
          </w:p>
          <w:p w:rsidR="00476719" w14:paraId="33AE82C0" w14:textId="77777777">
            <w:pPr>
              <w:jc w:val="both"/>
            </w:pPr>
            <w:r w:rsidRPr="00894E40">
              <w:rPr>
                <w:highlight w:val="lightGray"/>
              </w:rPr>
              <w:t>(</w:t>
            </w:r>
            <w:r>
              <w:t>19)  Sabine Pass Battleground State Historic Site;</w:t>
            </w:r>
          </w:p>
          <w:p w:rsidR="00476719" w14:paraId="48DAC92E" w14:textId="77777777">
            <w:pPr>
              <w:jc w:val="both"/>
            </w:pPr>
            <w:r w:rsidRPr="00894E40">
              <w:rPr>
                <w:highlight w:val="lightGray"/>
              </w:rPr>
              <w:t>(</w:t>
            </w:r>
            <w:r>
              <w:t>20)  Sam Bell Maxey House State Historic Site;</w:t>
            </w:r>
          </w:p>
          <w:p w:rsidR="00476719" w14:paraId="0C64C3DA" w14:textId="77777777">
            <w:pPr>
              <w:jc w:val="both"/>
            </w:pPr>
            <w:r w:rsidRPr="00894E40">
              <w:rPr>
                <w:highlight w:val="lightGray"/>
              </w:rPr>
              <w:t>(</w:t>
            </w:r>
            <w:r>
              <w:t>21)  Sam Rayburn House State Historic Site;</w:t>
            </w:r>
          </w:p>
          <w:p w:rsidR="00476719" w14:paraId="10BA4961" w14:textId="77777777">
            <w:pPr>
              <w:jc w:val="both"/>
            </w:pPr>
            <w:r w:rsidRPr="00894E40">
              <w:rPr>
                <w:highlight w:val="lightGray"/>
              </w:rPr>
              <w:t>(</w:t>
            </w:r>
            <w:r>
              <w:t>22)  San Felipe State Historic Site;</w:t>
            </w:r>
          </w:p>
          <w:p w:rsidR="00476719" w14:paraId="559DD724" w14:textId="77777777">
            <w:pPr>
              <w:jc w:val="both"/>
            </w:pPr>
            <w:r w:rsidRPr="00894E40">
              <w:rPr>
                <w:highlight w:val="lightGray"/>
              </w:rPr>
              <w:t>(</w:t>
            </w:r>
            <w:r>
              <w:t>23)  Starr Family Home State Historic Site;</w:t>
            </w:r>
          </w:p>
          <w:p w:rsidR="00476719" w14:paraId="2353762B" w14:textId="77777777">
            <w:pPr>
              <w:jc w:val="both"/>
            </w:pPr>
            <w:r w:rsidRPr="00894E40">
              <w:rPr>
                <w:highlight w:val="lightGray"/>
              </w:rPr>
              <w:t>(</w:t>
            </w:r>
            <w:r>
              <w:t>24)  Varner-Hogg Plantation State Historic Site;</w:t>
            </w:r>
          </w:p>
          <w:p w:rsidR="00476719" w14:paraId="53E90D49" w14:textId="77777777">
            <w:pPr>
              <w:jc w:val="both"/>
            </w:pPr>
            <w:r w:rsidRPr="00894E40">
              <w:rPr>
                <w:highlight w:val="lightGray"/>
              </w:rPr>
              <w:t>(</w:t>
            </w:r>
            <w:r>
              <w:t>25)  Washington-on-the-Brazos State Historic Site; and</w:t>
            </w:r>
          </w:p>
          <w:p w:rsidR="00476719" w14:paraId="2EAF962B" w14:textId="68DD70FA">
            <w:pPr>
              <w:jc w:val="both"/>
            </w:pPr>
            <w:r w:rsidRPr="00894E40">
              <w:rPr>
                <w:highlight w:val="lightGray"/>
              </w:rPr>
              <w:t>(</w:t>
            </w:r>
            <w:r>
              <w:t>26)  the property known as the French Legation.</w:t>
            </w:r>
          </w:p>
          <w:p w:rsidR="00AE2285" w14:paraId="12440E43" w14:textId="77777777">
            <w:pPr>
              <w:jc w:val="both"/>
            </w:pPr>
          </w:p>
          <w:p w:rsidR="00476719" w14:paraId="2120B1A3" w14:textId="77777777">
            <w:pPr>
              <w:jc w:val="both"/>
            </w:pPr>
            <w:r>
              <w:t>(b)  [</w:t>
            </w:r>
            <w:r>
              <w:rPr>
                <w:strike/>
              </w:rPr>
              <w:t>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  The commission has all powers necessary to operate the site in the required manner or for the required purpose.</w:t>
            </w:r>
          </w:p>
          <w:p w:rsidR="00476719" w14:paraId="7E4B6EA9" w14:textId="77777777">
            <w:pPr>
              <w:jc w:val="both"/>
            </w:pPr>
            <w:r>
              <w:t>[</w:t>
            </w:r>
            <w:r>
              <w:rPr>
                <w:strike/>
              </w:rPr>
              <w:t>(c)</w:t>
            </w:r>
            <w:r>
              <w:t>]  The commission may enter into an agreement with a nonprofit or for-profit corporation, foundation, association, or other nonprofit or for-profit entity for the expansion, renovation, management, operation, or financial support of a historic site.</w:t>
            </w:r>
          </w:p>
          <w:p w:rsidR="00476719" w14:paraId="2EE14F4B" w14:textId="77777777">
            <w:pPr>
              <w:jc w:val="both"/>
            </w:pPr>
          </w:p>
        </w:tc>
        <w:tc>
          <w:tcPr>
            <w:tcW w:w="5760" w:type="dxa"/>
          </w:tcPr>
          <w:p w:rsidR="00476719" w14:paraId="14ABBA81" w14:textId="77777777">
            <w:pPr>
              <w:jc w:val="both"/>
            </w:pPr>
          </w:p>
        </w:tc>
      </w:tr>
      <w:tr w14:paraId="6C198748" w14:textId="77777777">
        <w:tblPrEx>
          <w:tblW w:w="4820" w:type="pct"/>
          <w:tblInd w:w="6" w:type="dxa"/>
          <w:tblLayout w:type="fixed"/>
          <w:tblCellMar>
            <w:left w:w="0" w:type="dxa"/>
            <w:bottom w:w="288" w:type="dxa"/>
            <w:right w:w="720" w:type="dxa"/>
          </w:tblCellMar>
          <w:tblLook w:val="01E0"/>
        </w:tblPrEx>
        <w:tc>
          <w:tcPr>
            <w:tcW w:w="6473" w:type="dxa"/>
          </w:tcPr>
          <w:p w:rsidR="00476719" w14:paraId="001C6CE5" w14:textId="77777777">
            <w:pPr>
              <w:jc w:val="both"/>
            </w:pPr>
            <w:r>
              <w:t>SECTION 6.  Subchapter D, Chapter 442, Government Code, is amended by adding Sections 442.112 and 442.113 to read as follows:</w:t>
            </w:r>
          </w:p>
          <w:p w:rsidR="00476719" w14:paraId="5D8A33DA" w14:textId="77777777">
            <w:pPr>
              <w:jc w:val="both"/>
            </w:pPr>
            <w:r>
              <w:rPr>
                <w:u w:val="single"/>
              </w:rPr>
              <w:t>Sec. 442.112.  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476719" w14:paraId="19F427E9" w14:textId="77777777">
            <w:pPr>
              <w:jc w:val="both"/>
            </w:pPr>
            <w:r>
              <w:rPr>
                <w:u w:val="single"/>
              </w:rPr>
              <w:t>(b)  To implement this section, the commission may:</w:t>
            </w:r>
          </w:p>
          <w:p w:rsidR="00476719" w14:paraId="46ABE538" w14:textId="77777777">
            <w:pPr>
              <w:jc w:val="both"/>
            </w:pPr>
            <w:r>
              <w:rPr>
                <w:u w:val="single"/>
              </w:rPr>
              <w:t>(1)  employ necessary personnel;</w:t>
            </w:r>
          </w:p>
          <w:p w:rsidR="00476719" w14:paraId="4B856B70" w14:textId="77777777">
            <w:pPr>
              <w:jc w:val="both"/>
            </w:pPr>
            <w:r>
              <w:rPr>
                <w:u w:val="single"/>
              </w:rPr>
              <w:t>(2)  establish procurement standards and procedures in collaboration with the comptroller and the Department of Information Resources to meet the business needs of the commission's retail operations; and</w:t>
            </w:r>
          </w:p>
          <w:p w:rsidR="00476719" w14:paraId="58777636" w14:textId="77777777">
            <w:pPr>
              <w:jc w:val="both"/>
            </w:pPr>
            <w:r>
              <w:rPr>
                <w:u w:val="single"/>
              </w:rPr>
              <w:t>(3)  contract with a nonprofit corporation to assist with the commission's retail operations, accept money from the retail operations, and support state historic site operations and commission educational missions.</w:t>
            </w:r>
          </w:p>
          <w:p w:rsidR="00476719" w14:paraId="79FEDD3D" w14:textId="77777777">
            <w:pPr>
              <w:jc w:val="both"/>
            </w:pPr>
            <w:r>
              <w:rPr>
                <w:u w:val="single"/>
              </w:rPr>
              <w:t xml:space="preserve">Sec. 442.113.  TEXAS HISTORICAL COMMISSION RETAIL OPERATIONS FUND.  (a)  The Texas Historical Commission retail operations fund is a special fund established outside the state treasury as a fund to be held and administered by the comptroller as directed by the commission to provide support for commission retail </w:t>
            </w:r>
            <w:r>
              <w:rPr>
                <w:u w:val="single"/>
              </w:rPr>
              <w:t>operations under Section 442.112.  The fund consists of revenue from commission retail operations and may not include appropriated money.</w:t>
            </w:r>
          </w:p>
          <w:p w:rsidR="00476719" w14:paraId="417A7561" w14:textId="77777777">
            <w:pPr>
              <w:jc w:val="both"/>
            </w:pPr>
            <w:r>
              <w:rPr>
                <w:u w:val="single"/>
              </w:rPr>
              <w:t>(b)  Interest and income from assets of the fund shall be credited to and deposited in the fund.</w:t>
            </w:r>
          </w:p>
          <w:p w:rsidR="00476719" w14:paraId="11F5ECC6" w14:textId="77777777">
            <w:pPr>
              <w:jc w:val="both"/>
            </w:pPr>
            <w:r>
              <w:rPr>
                <w:u w:val="single"/>
              </w:rPr>
              <w:t>(c)  Money in the fund may be spent without appropriation and be used only to benefit state historic sites and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476719" w14:paraId="228915F0" w14:textId="77777777">
            <w:pPr>
              <w:jc w:val="both"/>
            </w:pPr>
          </w:p>
        </w:tc>
        <w:tc>
          <w:tcPr>
            <w:tcW w:w="6480" w:type="dxa"/>
          </w:tcPr>
          <w:p w:rsidR="00476719" w14:paraId="001B5FE6" w14:textId="77777777">
            <w:pPr>
              <w:jc w:val="both"/>
            </w:pPr>
            <w:r>
              <w:t>SECTION 6. Same as House version.</w:t>
            </w:r>
          </w:p>
          <w:p w:rsidR="00476719" w14:paraId="353AA783" w14:textId="77777777">
            <w:pPr>
              <w:jc w:val="both"/>
            </w:pPr>
          </w:p>
          <w:p w:rsidR="00476719" w14:paraId="263925D5" w14:textId="77777777">
            <w:pPr>
              <w:jc w:val="both"/>
            </w:pPr>
          </w:p>
        </w:tc>
        <w:tc>
          <w:tcPr>
            <w:tcW w:w="5760" w:type="dxa"/>
          </w:tcPr>
          <w:p w:rsidR="00476719" w14:paraId="796D2B0D" w14:textId="77777777">
            <w:pPr>
              <w:jc w:val="both"/>
            </w:pPr>
          </w:p>
        </w:tc>
      </w:tr>
      <w:tr w14:paraId="285A60E7" w14:textId="77777777">
        <w:tblPrEx>
          <w:tblW w:w="4820" w:type="pct"/>
          <w:tblInd w:w="6" w:type="dxa"/>
          <w:tblLayout w:type="fixed"/>
          <w:tblCellMar>
            <w:left w:w="0" w:type="dxa"/>
            <w:bottom w:w="288" w:type="dxa"/>
            <w:right w:w="720" w:type="dxa"/>
          </w:tblCellMar>
          <w:tblLook w:val="01E0"/>
        </w:tblPrEx>
        <w:tc>
          <w:tcPr>
            <w:tcW w:w="6473" w:type="dxa"/>
          </w:tcPr>
          <w:p w:rsidR="00476719" w14:paraId="2A67D536" w14:textId="77777777">
            <w:pPr>
              <w:jc w:val="both"/>
            </w:pPr>
            <w:r>
              <w:t>SECTION 7.  This Act takes effect September 1, 2023.</w:t>
            </w:r>
          </w:p>
          <w:p w:rsidR="00476719" w14:paraId="6C6B3C6D" w14:textId="77777777">
            <w:pPr>
              <w:jc w:val="both"/>
            </w:pPr>
          </w:p>
        </w:tc>
        <w:tc>
          <w:tcPr>
            <w:tcW w:w="6480" w:type="dxa"/>
          </w:tcPr>
          <w:p w:rsidR="00476719" w14:paraId="68FA0A32" w14:textId="77777777">
            <w:pPr>
              <w:jc w:val="both"/>
            </w:pPr>
            <w:r>
              <w:t>SECTION 7. Same as House version.</w:t>
            </w:r>
          </w:p>
          <w:p w:rsidR="00476719" w14:paraId="5B660FE1" w14:textId="77777777">
            <w:pPr>
              <w:jc w:val="both"/>
            </w:pPr>
          </w:p>
          <w:p w:rsidR="00476719" w14:paraId="757C2445" w14:textId="77777777">
            <w:pPr>
              <w:jc w:val="both"/>
            </w:pPr>
          </w:p>
        </w:tc>
        <w:tc>
          <w:tcPr>
            <w:tcW w:w="5760" w:type="dxa"/>
          </w:tcPr>
          <w:p w:rsidR="00476719" w14:paraId="36885CBC" w14:textId="77777777">
            <w:pPr>
              <w:jc w:val="both"/>
            </w:pPr>
          </w:p>
        </w:tc>
      </w:tr>
    </w:tbl>
    <w:p w:rsidR="00A71865" w14:paraId="2E445822" w14:textId="77777777"/>
    <w:sectPr w:rsidSect="0047671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E40" w14:paraId="618B97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719" w14:paraId="43292C70" w14:textId="11D2ECEB">
    <w:pPr>
      <w:tabs>
        <w:tab w:val="center" w:pos="9360"/>
        <w:tab w:val="right" w:pos="18720"/>
      </w:tabs>
    </w:pPr>
    <w:r>
      <w:fldChar w:fldCharType="begin"/>
    </w:r>
    <w:r>
      <w:instrText xml:space="preserve"> DOCPROPERTY  CCRF  \* MERGEFORMAT </w:instrText>
    </w:r>
    <w:r>
      <w:fldChar w:fldCharType="separate"/>
    </w:r>
    <w:r w:rsidR="004566B0">
      <w:t xml:space="preserve"> </w:t>
    </w:r>
    <w:r>
      <w:fldChar w:fldCharType="end"/>
    </w:r>
    <w:r w:rsidR="00953310">
      <w:tab/>
    </w:r>
    <w:r>
      <w:fldChar w:fldCharType="begin"/>
    </w:r>
    <w:r w:rsidR="00953310">
      <w:instrText xml:space="preserve"> PAGE </w:instrText>
    </w:r>
    <w:r>
      <w:fldChar w:fldCharType="separate"/>
    </w:r>
    <w:r w:rsidR="00953310">
      <w:t>5</w:t>
    </w:r>
    <w:r>
      <w:fldChar w:fldCharType="end"/>
    </w:r>
    <w:r w:rsidR="00953310">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E40" w14:paraId="4C0E52D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E40" w14:paraId="402FC0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E40" w14:paraId="731A330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E40" w14:paraId="48ACA92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19"/>
    <w:rsid w:val="004566B0"/>
    <w:rsid w:val="00476719"/>
    <w:rsid w:val="00894E40"/>
    <w:rsid w:val="00953310"/>
    <w:rsid w:val="00A71865"/>
    <w:rsid w:val="00AE22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472B170-DDB6-4A92-B798-1FB609E5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40"/>
    <w:pPr>
      <w:tabs>
        <w:tab w:val="center" w:pos="4680"/>
        <w:tab w:val="right" w:pos="9360"/>
      </w:tabs>
    </w:pPr>
  </w:style>
  <w:style w:type="character" w:customStyle="1" w:styleId="HeaderChar">
    <w:name w:val="Header Char"/>
    <w:basedOn w:val="DefaultParagraphFont"/>
    <w:link w:val="Header"/>
    <w:uiPriority w:val="99"/>
    <w:rsid w:val="00894E40"/>
    <w:rPr>
      <w:sz w:val="22"/>
    </w:rPr>
  </w:style>
  <w:style w:type="paragraph" w:styleId="Footer">
    <w:name w:val="footer"/>
    <w:basedOn w:val="Normal"/>
    <w:link w:val="FooterChar"/>
    <w:uiPriority w:val="99"/>
    <w:unhideWhenUsed/>
    <w:rsid w:val="00894E40"/>
    <w:pPr>
      <w:tabs>
        <w:tab w:val="center" w:pos="4680"/>
        <w:tab w:val="right" w:pos="9360"/>
      </w:tabs>
    </w:pPr>
  </w:style>
  <w:style w:type="character" w:customStyle="1" w:styleId="FooterChar">
    <w:name w:val="Footer Char"/>
    <w:basedOn w:val="DefaultParagraphFont"/>
    <w:link w:val="Footer"/>
    <w:uiPriority w:val="99"/>
    <w:rsid w:val="00894E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5</Pages>
  <Words>1516</Words>
  <Characters>8493</Characters>
  <Application>Microsoft Office Word</Application>
  <DocSecurity>0</DocSecurity>
  <Lines>257</Lines>
  <Paragraphs>123</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HB2719-SAA</dc:title>
  <dc:creator>Sean Bassari</dc:creator>
  <cp:lastModifiedBy>Katherine Glanz</cp:lastModifiedBy>
  <cp:revision>2</cp:revision>
  <dcterms:created xsi:type="dcterms:W3CDTF">2023-05-18T00:47:00Z</dcterms:created>
  <dcterms:modified xsi:type="dcterms:W3CDTF">2023-05-18T00:47:00Z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