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172B435A" w14:textId="77777777" w:rsidTr="0030469C">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2B3885" w14:paraId="58E14868" w14:textId="77777777">
            <w:pPr>
              <w:ind w:left="650"/>
              <w:jc w:val="center"/>
            </w:pPr>
            <w:r>
              <w:rPr>
                <w:b/>
              </w:rPr>
              <w:t>House Bill  2929</w:t>
            </w:r>
          </w:p>
          <w:p w:rsidR="002B3885" w14:paraId="55A3A628" w14:textId="77777777">
            <w:pPr>
              <w:ind w:left="650"/>
              <w:jc w:val="center"/>
            </w:pPr>
            <w:r>
              <w:t>Senate Amendments</w:t>
            </w:r>
          </w:p>
          <w:p w:rsidR="002B3885" w14:paraId="022A2759" w14:textId="77777777">
            <w:pPr>
              <w:ind w:left="650"/>
              <w:jc w:val="center"/>
            </w:pPr>
            <w:r>
              <w:t>Section-by-Section Analysis</w:t>
            </w:r>
          </w:p>
          <w:p w:rsidR="002B3885" w14:paraId="26343A81" w14:textId="77777777">
            <w:pPr>
              <w:jc w:val="center"/>
            </w:pPr>
          </w:p>
        </w:tc>
      </w:tr>
      <w:tr w14:paraId="4250D5C4"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2B3885" w14:paraId="71C3A12B" w14:textId="77777777">
            <w:pPr>
              <w:jc w:val="center"/>
            </w:pPr>
            <w:r>
              <w:t>HOUSE VERSION</w:t>
            </w:r>
          </w:p>
        </w:tc>
        <w:tc>
          <w:tcPr>
            <w:tcW w:w="1667" w:type="pct"/>
            <w:tcMar>
              <w:bottom w:w="188" w:type="dxa"/>
              <w:right w:w="0" w:type="dxa"/>
            </w:tcMar>
          </w:tcPr>
          <w:p w:rsidR="002B3885" w14:paraId="790AE7C7" w14:textId="77777777">
            <w:pPr>
              <w:jc w:val="center"/>
            </w:pPr>
            <w:r>
              <w:t>SENATE VERSION (CS)</w:t>
            </w:r>
          </w:p>
        </w:tc>
        <w:tc>
          <w:tcPr>
            <w:tcW w:w="1667" w:type="pct"/>
            <w:tcMar>
              <w:bottom w:w="188" w:type="dxa"/>
              <w:right w:w="0" w:type="dxa"/>
            </w:tcMar>
          </w:tcPr>
          <w:p w:rsidR="002B3885" w14:paraId="326AB28F" w14:textId="77777777">
            <w:pPr>
              <w:jc w:val="center"/>
            </w:pPr>
            <w:r>
              <w:t>CONFERENCE</w:t>
            </w:r>
          </w:p>
        </w:tc>
      </w:tr>
      <w:tr w14:paraId="4D385821" w14:textId="77777777">
        <w:tblPrEx>
          <w:tblW w:w="4820" w:type="pct"/>
          <w:tblInd w:w="6" w:type="dxa"/>
          <w:tblLayout w:type="fixed"/>
          <w:tblCellMar>
            <w:left w:w="0" w:type="dxa"/>
            <w:bottom w:w="288" w:type="dxa"/>
            <w:right w:w="720" w:type="dxa"/>
          </w:tblCellMar>
          <w:tblLook w:val="01E0"/>
        </w:tblPrEx>
        <w:tc>
          <w:tcPr>
            <w:tcW w:w="6473" w:type="dxa"/>
          </w:tcPr>
          <w:p w:rsidR="002B3885" w14:paraId="3225946C" w14:textId="77777777">
            <w:pPr>
              <w:jc w:val="both"/>
            </w:pPr>
            <w:r>
              <w:t>SECTION 1.  Section 21.054(d), Education Code, as amended by Chapters 1045 (S.B. 1267) and 973 (S.B. 2066), Acts of the 87th Legislature, Regular Session, 2021, is reenacted and amended to read as follows:</w:t>
            </w:r>
          </w:p>
          <w:p w:rsidR="002B3885" w14:paraId="66BBD35E" w14:textId="77777777">
            <w:pPr>
              <w:jc w:val="both"/>
            </w:pPr>
            <w:r>
              <w:t xml:space="preserve">(d)  </w:t>
            </w:r>
            <w:r>
              <w:rPr>
                <w:u w:val="single"/>
              </w:rPr>
              <w:t>Subject to Subsection (d-2), continuing</w:t>
            </w:r>
            <w:r>
              <w:t xml:space="preserve"> [</w:t>
            </w:r>
            <w:r>
              <w:rPr>
                <w:strike/>
              </w:rPr>
              <w:t>Continuing</w:t>
            </w:r>
            <w:r>
              <w:t xml:space="preserve">] education requirements for a classroom teacher </w:t>
            </w:r>
            <w:r>
              <w:rPr>
                <w:u w:val="single"/>
              </w:rPr>
              <w:t>may not require</w:t>
            </w:r>
            <w:r>
              <w:t xml:space="preserve"> [</w:t>
            </w:r>
            <w:r>
              <w:rPr>
                <w:strike/>
              </w:rPr>
              <w:t>must provide</w:t>
            </w:r>
            <w:r>
              <w:t>] that [</w:t>
            </w:r>
            <w:r>
              <w:rPr>
                <w:strike/>
              </w:rPr>
              <w:t>not</w:t>
            </w:r>
            <w:r>
              <w:t>] more than 25 percent of the training required every five years include instruction regarding:</w:t>
            </w:r>
          </w:p>
          <w:p w:rsidR="002B3885" w14:paraId="4EA898B6" w14:textId="77777777">
            <w:pPr>
              <w:jc w:val="both"/>
            </w:pPr>
            <w:r>
              <w:t>(1)  collecting and analyzing information that will improve effectiveness in the classroom;</w:t>
            </w:r>
          </w:p>
          <w:p w:rsidR="002B3885" w14:paraId="34F7569C" w14:textId="77777777">
            <w:pPr>
              <w:jc w:val="both"/>
            </w:pPr>
            <w:r>
              <w:t>(2)  recognizing early warning indicators that a student may be at risk of dropping out of school;</w:t>
            </w:r>
          </w:p>
          <w:p w:rsidR="002B3885" w14:paraId="0FC26602" w14:textId="77777777">
            <w:pPr>
              <w:jc w:val="both"/>
            </w:pPr>
            <w:r>
              <w:t>(3)  digital learning, digital teaching, and integrating technology into classroom instruction;</w:t>
            </w:r>
          </w:p>
          <w:p w:rsidR="002B3885" w14:paraId="2FD00B35" w14:textId="77777777">
            <w:pPr>
              <w:jc w:val="both"/>
            </w:pPr>
            <w:r>
              <w:t>(4)  educating diverse student populations, including:</w:t>
            </w:r>
          </w:p>
          <w:p w:rsidR="002B3885" w14:paraId="5B4AB7BC" w14:textId="77777777">
            <w:pPr>
              <w:jc w:val="both"/>
            </w:pPr>
            <w:r>
              <w:t>(A)  students who are educationally disadvantaged; and</w:t>
            </w:r>
          </w:p>
          <w:p w:rsidR="002B3885" w14:paraId="5C778C13" w14:textId="77777777">
            <w:pPr>
              <w:jc w:val="both"/>
            </w:pPr>
            <w:r>
              <w:t>(B)  students at risk of dropping out of school; and</w:t>
            </w:r>
          </w:p>
          <w:p w:rsidR="002B3885" w14:paraId="71459A81" w14:textId="77777777">
            <w:pPr>
              <w:jc w:val="both"/>
            </w:pPr>
            <w:r>
              <w:t>(5)  understanding appropriate relationships, boundaries, and communications between educators and students.</w:t>
            </w:r>
          </w:p>
          <w:p w:rsidR="002B3885" w14:paraId="16452C65" w14:textId="77777777">
            <w:pPr>
              <w:jc w:val="both"/>
            </w:pPr>
          </w:p>
        </w:tc>
        <w:tc>
          <w:tcPr>
            <w:tcW w:w="6480" w:type="dxa"/>
          </w:tcPr>
          <w:p w:rsidR="002B3885" w14:paraId="537C1039" w14:textId="336E2407">
            <w:pPr>
              <w:jc w:val="both"/>
            </w:pPr>
            <w:r>
              <w:t xml:space="preserve">SECTION 1. </w:t>
            </w:r>
            <w:r w:rsidRPr="0030469C" w:rsidR="0030469C">
              <w:t>Same as House version.</w:t>
            </w:r>
          </w:p>
          <w:p w:rsidR="002B3885" w14:paraId="598742B5" w14:textId="77777777">
            <w:pPr>
              <w:jc w:val="both"/>
            </w:pPr>
          </w:p>
        </w:tc>
        <w:tc>
          <w:tcPr>
            <w:tcW w:w="5760" w:type="dxa"/>
          </w:tcPr>
          <w:p w:rsidR="002B3885" w14:paraId="3516F817" w14:textId="77777777">
            <w:pPr>
              <w:jc w:val="both"/>
            </w:pPr>
          </w:p>
        </w:tc>
      </w:tr>
      <w:tr w14:paraId="3B501F5A" w14:textId="77777777">
        <w:tblPrEx>
          <w:tblW w:w="4820" w:type="pct"/>
          <w:tblInd w:w="6" w:type="dxa"/>
          <w:tblLayout w:type="fixed"/>
          <w:tblCellMar>
            <w:left w:w="0" w:type="dxa"/>
            <w:bottom w:w="288" w:type="dxa"/>
            <w:right w:w="720" w:type="dxa"/>
          </w:tblCellMar>
          <w:tblLook w:val="01E0"/>
        </w:tblPrEx>
        <w:tc>
          <w:tcPr>
            <w:tcW w:w="6473" w:type="dxa"/>
          </w:tcPr>
          <w:p w:rsidR="002B3885" w14:paraId="0599D8A9" w14:textId="77777777">
            <w:pPr>
              <w:jc w:val="both"/>
            </w:pPr>
            <w:r>
              <w:t>SECTION 2.  Section 21.054, Education Code, is amended by adding Subsection (d-2) and amending Subsection (f) to read as follows:</w:t>
            </w:r>
          </w:p>
          <w:p w:rsidR="002B3885" w14:paraId="7A1989BB" w14:textId="77777777">
            <w:pPr>
              <w:jc w:val="both"/>
            </w:pPr>
            <w:r>
              <w:rPr>
                <w:u w:val="single"/>
              </w:rPr>
              <w:t>(d-2)  Training in a topic of instruction described by Subsection (d) attended by a classroom teacher in excess of an amount of hours equal to 25 percent of the training required of the teacher every five years shall be counted toward the teacher's overall training requirements.</w:t>
            </w:r>
          </w:p>
          <w:p w:rsidR="002B3885" w14:paraId="40C5CFEE" w14:textId="77777777">
            <w:pPr>
              <w:jc w:val="both"/>
            </w:pPr>
            <w:r>
              <w:t xml:space="preserve">(f)  Continuing education requirements for a counselor must provide that </w:t>
            </w:r>
            <w:r>
              <w:rPr>
                <w:u w:val="single"/>
              </w:rPr>
              <w:t>at least</w:t>
            </w:r>
            <w:r>
              <w:t xml:space="preserve"> [</w:t>
            </w:r>
            <w:r>
              <w:rPr>
                <w:strike/>
              </w:rPr>
              <w:t>not more than</w:t>
            </w:r>
            <w:r>
              <w:t xml:space="preserve">] 25 percent of training </w:t>
            </w:r>
            <w:r>
              <w:t>required every five years include instruction regarding:</w:t>
            </w:r>
          </w:p>
          <w:p w:rsidR="002B3885" w14:paraId="7FC6C72E" w14:textId="77777777">
            <w:pPr>
              <w:jc w:val="both"/>
            </w:pPr>
            <w:r>
              <w:t>(1)  assisting students in developing high school graduation plans;</w:t>
            </w:r>
          </w:p>
          <w:p w:rsidR="002B3885" w14:paraId="07D43B3B" w14:textId="77777777">
            <w:pPr>
              <w:jc w:val="both"/>
            </w:pPr>
            <w:r>
              <w:t>(2)  implementing dropout prevention strategies;</w:t>
            </w:r>
          </w:p>
          <w:p w:rsidR="002B3885" w14:paraId="73F1024C" w14:textId="77777777">
            <w:pPr>
              <w:jc w:val="both"/>
            </w:pPr>
            <w:r>
              <w:t>(3)  informing students concerning:</w:t>
            </w:r>
          </w:p>
          <w:p w:rsidR="002B3885" w14:paraId="7FF222D4" w14:textId="77777777">
            <w:pPr>
              <w:jc w:val="both"/>
            </w:pPr>
            <w:r>
              <w:t>(A)  college admissions, including college financial aid resources and application procedures; and</w:t>
            </w:r>
          </w:p>
          <w:p w:rsidR="002B3885" w14:paraId="072F1DB9" w14:textId="77777777">
            <w:pPr>
              <w:jc w:val="both"/>
            </w:pPr>
            <w:r>
              <w:t>(B)  career opportunities;</w:t>
            </w:r>
          </w:p>
          <w:p w:rsidR="002B3885" w14:paraId="3593FBAE" w14:textId="77777777">
            <w:pPr>
              <w:jc w:val="both"/>
            </w:pPr>
            <w:r>
              <w:t>(4)  counseling students concerning mental health conditions and substance abuse, including through the use of grief-informed and trauma-informed interventions and crisis management and suicide prevention strategies; and</w:t>
            </w:r>
          </w:p>
          <w:p w:rsidR="002B3885" w14:paraId="092B01E7" w14:textId="77777777">
            <w:pPr>
              <w:jc w:val="both"/>
            </w:pPr>
            <w:r>
              <w:t>(5)  effective implementation of a comprehensive school counseling program under Section 33.005.</w:t>
            </w:r>
          </w:p>
          <w:p w:rsidR="002B3885" w14:paraId="51F4BD87" w14:textId="77777777">
            <w:pPr>
              <w:jc w:val="both"/>
            </w:pPr>
          </w:p>
        </w:tc>
        <w:tc>
          <w:tcPr>
            <w:tcW w:w="6480" w:type="dxa"/>
          </w:tcPr>
          <w:p w:rsidR="002B3885" w14:paraId="3517D03E" w14:textId="77777777">
            <w:pPr>
              <w:jc w:val="both"/>
            </w:pPr>
            <w:r>
              <w:t>SECTION 2. Same as House version.</w:t>
            </w:r>
          </w:p>
          <w:p w:rsidR="002B3885" w14:paraId="6D9C9916" w14:textId="77777777">
            <w:pPr>
              <w:jc w:val="both"/>
            </w:pPr>
          </w:p>
          <w:p w:rsidR="002B3885" w14:paraId="2BA9D488" w14:textId="77777777">
            <w:pPr>
              <w:jc w:val="both"/>
            </w:pPr>
          </w:p>
        </w:tc>
        <w:tc>
          <w:tcPr>
            <w:tcW w:w="5760" w:type="dxa"/>
          </w:tcPr>
          <w:p w:rsidR="002B3885" w14:paraId="2D4B42D8" w14:textId="77777777">
            <w:pPr>
              <w:jc w:val="both"/>
            </w:pPr>
          </w:p>
        </w:tc>
      </w:tr>
      <w:tr w14:paraId="170CC958" w14:textId="77777777">
        <w:tblPrEx>
          <w:tblW w:w="4820" w:type="pct"/>
          <w:tblInd w:w="6" w:type="dxa"/>
          <w:tblLayout w:type="fixed"/>
          <w:tblCellMar>
            <w:left w:w="0" w:type="dxa"/>
            <w:bottom w:w="288" w:type="dxa"/>
            <w:right w:w="720" w:type="dxa"/>
          </w:tblCellMar>
          <w:tblLook w:val="01E0"/>
        </w:tblPrEx>
        <w:tc>
          <w:tcPr>
            <w:tcW w:w="6473" w:type="dxa"/>
          </w:tcPr>
          <w:p w:rsidR="002B3885" w14:paraId="0BCF9318" w14:textId="77777777">
            <w:pPr>
              <w:jc w:val="both"/>
            </w:pPr>
            <w:r>
              <w:t>SECTION 3.  This Act applies beginning with the 2023-2024 school year.</w:t>
            </w:r>
          </w:p>
          <w:p w:rsidR="002B3885" w14:paraId="354AB990" w14:textId="77777777">
            <w:pPr>
              <w:jc w:val="both"/>
            </w:pPr>
          </w:p>
        </w:tc>
        <w:tc>
          <w:tcPr>
            <w:tcW w:w="6480" w:type="dxa"/>
          </w:tcPr>
          <w:p w:rsidR="002B3885" w14:paraId="0EBDABD9" w14:textId="77777777">
            <w:pPr>
              <w:jc w:val="both"/>
            </w:pPr>
            <w:r>
              <w:t>SECTION 3. Same as House version.</w:t>
            </w:r>
          </w:p>
          <w:p w:rsidR="002B3885" w14:paraId="1D7651D7" w14:textId="77777777">
            <w:pPr>
              <w:jc w:val="both"/>
            </w:pPr>
          </w:p>
          <w:p w:rsidR="002B3885" w14:paraId="5F2E6CCF" w14:textId="77777777">
            <w:pPr>
              <w:jc w:val="both"/>
            </w:pPr>
          </w:p>
        </w:tc>
        <w:tc>
          <w:tcPr>
            <w:tcW w:w="5760" w:type="dxa"/>
          </w:tcPr>
          <w:p w:rsidR="002B3885" w14:paraId="13113AE3" w14:textId="77777777">
            <w:pPr>
              <w:jc w:val="both"/>
            </w:pPr>
          </w:p>
        </w:tc>
      </w:tr>
      <w:tr w14:paraId="6950B5CA" w14:textId="77777777">
        <w:tblPrEx>
          <w:tblW w:w="4820" w:type="pct"/>
          <w:tblInd w:w="6" w:type="dxa"/>
          <w:tblLayout w:type="fixed"/>
          <w:tblCellMar>
            <w:left w:w="0" w:type="dxa"/>
            <w:bottom w:w="288" w:type="dxa"/>
            <w:right w:w="720" w:type="dxa"/>
          </w:tblCellMar>
          <w:tblLook w:val="01E0"/>
        </w:tblPrEx>
        <w:tc>
          <w:tcPr>
            <w:tcW w:w="6473" w:type="dxa"/>
          </w:tcPr>
          <w:p w:rsidR="002B3885" w14:paraId="6094F541" w14:textId="77777777">
            <w:pPr>
              <w:jc w:val="both"/>
            </w:pPr>
            <w:r>
              <w:t>SECTION 4.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2B3885" w14:paraId="4D91B8F8" w14:textId="77777777">
            <w:pPr>
              <w:jc w:val="both"/>
            </w:pPr>
          </w:p>
        </w:tc>
        <w:tc>
          <w:tcPr>
            <w:tcW w:w="6480" w:type="dxa"/>
          </w:tcPr>
          <w:p w:rsidR="002B3885" w14:paraId="6A71F3AF" w14:textId="77777777">
            <w:pPr>
              <w:jc w:val="both"/>
            </w:pPr>
            <w:r>
              <w:t>SECTION 4. Same as House version.</w:t>
            </w:r>
          </w:p>
          <w:p w:rsidR="002B3885" w14:paraId="309E6880" w14:textId="77777777">
            <w:pPr>
              <w:jc w:val="both"/>
            </w:pPr>
          </w:p>
          <w:p w:rsidR="002B3885" w14:paraId="481BCDDE" w14:textId="77777777">
            <w:pPr>
              <w:jc w:val="both"/>
            </w:pPr>
          </w:p>
        </w:tc>
        <w:tc>
          <w:tcPr>
            <w:tcW w:w="5760" w:type="dxa"/>
          </w:tcPr>
          <w:p w:rsidR="002B3885" w14:paraId="6DB58F8B" w14:textId="77777777">
            <w:pPr>
              <w:jc w:val="both"/>
            </w:pPr>
          </w:p>
        </w:tc>
      </w:tr>
    </w:tbl>
    <w:p w:rsidR="00C12F24" w14:paraId="585AEE9B" w14:textId="77777777"/>
    <w:sectPr w:rsidSect="002B3885">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6F32" w14:paraId="416BBAB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3885" w14:paraId="241A1E66" w14:textId="472719FE">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B46FDE">
      <w:tab/>
    </w:r>
    <w:r>
      <w:fldChar w:fldCharType="begin"/>
    </w:r>
    <w:r w:rsidR="00B46FDE">
      <w:instrText xml:space="preserve"> PAGE </w:instrText>
    </w:r>
    <w:r>
      <w:fldChar w:fldCharType="separate"/>
    </w:r>
    <w:r w:rsidR="00B46FDE">
      <w:t>2</w:t>
    </w:r>
    <w:r>
      <w:fldChar w:fldCharType="end"/>
    </w:r>
    <w:r w:rsidR="00B46FDE">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6F32" w14:paraId="6328768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6F32" w14:paraId="096680C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6F32" w14:paraId="78AE682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6F32" w14:paraId="42899A6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885"/>
    <w:rsid w:val="002B3885"/>
    <w:rsid w:val="0030469C"/>
    <w:rsid w:val="00836F32"/>
    <w:rsid w:val="00B46FDE"/>
    <w:rsid w:val="00C12F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D9C2990-6EAF-47C6-A5B6-1D8B97F7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88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F32"/>
    <w:pPr>
      <w:tabs>
        <w:tab w:val="center" w:pos="4680"/>
        <w:tab w:val="right" w:pos="9360"/>
      </w:tabs>
    </w:pPr>
  </w:style>
  <w:style w:type="character" w:customStyle="1" w:styleId="HeaderChar">
    <w:name w:val="Header Char"/>
    <w:basedOn w:val="DefaultParagraphFont"/>
    <w:link w:val="Header"/>
    <w:uiPriority w:val="99"/>
    <w:rsid w:val="00836F32"/>
    <w:rPr>
      <w:sz w:val="22"/>
    </w:rPr>
  </w:style>
  <w:style w:type="paragraph" w:styleId="Footer">
    <w:name w:val="footer"/>
    <w:basedOn w:val="Normal"/>
    <w:link w:val="FooterChar"/>
    <w:uiPriority w:val="99"/>
    <w:unhideWhenUsed/>
    <w:rsid w:val="00836F32"/>
    <w:pPr>
      <w:tabs>
        <w:tab w:val="center" w:pos="4680"/>
        <w:tab w:val="right" w:pos="9360"/>
      </w:tabs>
    </w:pPr>
  </w:style>
  <w:style w:type="character" w:customStyle="1" w:styleId="FooterChar">
    <w:name w:val="Footer Char"/>
    <w:basedOn w:val="DefaultParagraphFont"/>
    <w:link w:val="Footer"/>
    <w:uiPriority w:val="99"/>
    <w:rsid w:val="00836F3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2</Pages>
  <Words>403</Words>
  <Characters>2376</Characters>
  <Application>Microsoft Office Word</Application>
  <DocSecurity>0</DocSecurity>
  <Lines>77</Lines>
  <Paragraphs>31</Paragraphs>
  <ScaleCrop>false</ScaleCrop>
  <HeadingPairs>
    <vt:vector size="2" baseType="variant">
      <vt:variant>
        <vt:lpstr>Title</vt:lpstr>
      </vt:variant>
      <vt:variant>
        <vt:i4>1</vt:i4>
      </vt:variant>
    </vt:vector>
  </HeadingPairs>
  <TitlesOfParts>
    <vt:vector size="1" baseType="lpstr">
      <vt:lpstr>HB2929-SAA</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HB2929-SAA</dc:title>
  <dc:creator>Victoria Lovejoy</dc:creator>
  <cp:lastModifiedBy>Nicholas De La Garza</cp:lastModifiedBy>
  <cp:revision>2</cp:revision>
  <dcterms:created xsi:type="dcterms:W3CDTF">2023-05-18T00:23:00Z</dcterms:created>
  <dcterms:modified xsi:type="dcterms:W3CDTF">2023-05-18T00:23:00Z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