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43C23BF4" w14:textId="77777777" w:rsidTr="00274CCA">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273BFD" w14:paraId="7FD0EB0B" w14:textId="77777777">
            <w:pPr>
              <w:ind w:left="650"/>
              <w:jc w:val="center"/>
            </w:pPr>
            <w:r>
              <w:rPr>
                <w:b/>
              </w:rPr>
              <w:t>House Bill  3310</w:t>
            </w:r>
          </w:p>
          <w:p w:rsidR="00273BFD" w14:paraId="0CD60F9E" w14:textId="77777777">
            <w:pPr>
              <w:ind w:left="650"/>
              <w:jc w:val="center"/>
            </w:pPr>
            <w:r>
              <w:t>Senate Amendments</w:t>
            </w:r>
          </w:p>
          <w:p w:rsidR="00273BFD" w14:paraId="0B21D560" w14:textId="77777777">
            <w:pPr>
              <w:ind w:left="650"/>
              <w:jc w:val="center"/>
            </w:pPr>
            <w:r>
              <w:t>Section-by-Section Analysis</w:t>
            </w:r>
          </w:p>
          <w:p w:rsidR="00273BFD" w14:paraId="2C038776" w14:textId="77777777">
            <w:pPr>
              <w:jc w:val="center"/>
            </w:pPr>
          </w:p>
        </w:tc>
      </w:tr>
      <w:tr w14:paraId="2937F842" w14:textId="77777777" w:rsidTr="00274CCA">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273BFD" w14:paraId="0D82D583" w14:textId="77777777">
            <w:pPr>
              <w:jc w:val="center"/>
            </w:pPr>
            <w:r>
              <w:t>HOUSE VERSION</w:t>
            </w:r>
          </w:p>
        </w:tc>
        <w:tc>
          <w:tcPr>
            <w:tcW w:w="6248" w:type="dxa"/>
            <w:tcMar>
              <w:bottom w:w="188" w:type="dxa"/>
              <w:right w:w="0" w:type="dxa"/>
            </w:tcMar>
          </w:tcPr>
          <w:p w:rsidR="00273BFD" w14:paraId="6F45BC35" w14:textId="77777777">
            <w:pPr>
              <w:jc w:val="center"/>
            </w:pPr>
            <w:r>
              <w:t>SENATE VERSION (IE)</w:t>
            </w:r>
          </w:p>
        </w:tc>
        <w:tc>
          <w:tcPr>
            <w:tcW w:w="6244" w:type="dxa"/>
            <w:tcMar>
              <w:bottom w:w="188" w:type="dxa"/>
              <w:right w:w="0" w:type="dxa"/>
            </w:tcMar>
          </w:tcPr>
          <w:p w:rsidR="00273BFD" w14:paraId="6152313E" w14:textId="77777777">
            <w:pPr>
              <w:jc w:val="center"/>
            </w:pPr>
            <w:r>
              <w:t>CONFERENCE</w:t>
            </w:r>
          </w:p>
        </w:tc>
      </w:tr>
      <w:tr w14:paraId="0ED3BE63" w14:textId="77777777" w:rsidTr="00274CCA">
        <w:tblPrEx>
          <w:tblW w:w="4820" w:type="pct"/>
          <w:tblInd w:w="6" w:type="dxa"/>
          <w:tblLayout w:type="fixed"/>
          <w:tblCellMar>
            <w:left w:w="0" w:type="dxa"/>
            <w:bottom w:w="288" w:type="dxa"/>
            <w:right w:w="720" w:type="dxa"/>
          </w:tblCellMar>
          <w:tblLook w:val="01E0"/>
        </w:tblPrEx>
        <w:tc>
          <w:tcPr>
            <w:tcW w:w="6248" w:type="dxa"/>
          </w:tcPr>
          <w:p w:rsidR="00273BFD" w14:paraId="633BC28F" w14:textId="77777777">
            <w:pPr>
              <w:jc w:val="both"/>
            </w:pPr>
            <w:r>
              <w:t>SECTION 1.  Section 2210.574, Insurance Code, is amended by amending Subsection (d) and adding Subsection (d-1) to read as follows:</w:t>
            </w:r>
          </w:p>
          <w:p w:rsidR="00273BFD" w14:paraId="06A3C5D7" w14:textId="77777777">
            <w:pPr>
              <w:jc w:val="both"/>
            </w:pPr>
            <w:r>
              <w:t>(d)  If a claimant demands appraisal under this section:</w:t>
            </w:r>
          </w:p>
          <w:p w:rsidR="00273BFD" w14:paraId="53E96D12" w14:textId="77777777">
            <w:pPr>
              <w:jc w:val="both"/>
            </w:pPr>
            <w:r>
              <w:t>(1)  the appraisal must be conducted as provided by the association policy; [</w:t>
            </w:r>
            <w:r>
              <w:rPr>
                <w:strike/>
              </w:rPr>
              <w:t>and</w:t>
            </w:r>
            <w:r>
              <w:t>]</w:t>
            </w:r>
          </w:p>
          <w:p w:rsidR="00273BFD" w14:paraId="3D0A2C92" w14:textId="77777777">
            <w:pPr>
              <w:jc w:val="both"/>
            </w:pPr>
            <w:r>
              <w:t>(2)  the claimant and the association are responsible in equal shares for paying any costs incurred or charged in connection with the appraisal, including a fee charged under Subsection (e)</w:t>
            </w:r>
            <w:r>
              <w:rPr>
                <w:u w:val="single"/>
              </w:rPr>
              <w:t>; and</w:t>
            </w:r>
          </w:p>
          <w:p w:rsidR="00273BFD" w14:paraId="4A5CBF7F" w14:textId="77777777">
            <w:pPr>
              <w:jc w:val="both"/>
            </w:pPr>
            <w:r>
              <w:rPr>
                <w:u w:val="single"/>
              </w:rPr>
              <w:t>(3)  the appraisal must be completed within the period established under Subsection (d-1)</w:t>
            </w:r>
            <w:r>
              <w:t>.</w:t>
            </w:r>
          </w:p>
          <w:p w:rsidR="00273BFD" w14:paraId="632B3889" w14:textId="77777777">
            <w:pPr>
              <w:jc w:val="both"/>
            </w:pPr>
            <w:r>
              <w:rPr>
                <w:u w:val="single"/>
              </w:rPr>
              <w:t>(d-1)  In consultation with the association, the commissioner shall adopt rules establishing the period in which an appraisal demanded under this section must be completed.  In adopting the rules, the commissioner shall:</w:t>
            </w:r>
          </w:p>
          <w:p w:rsidR="00273BFD" w14:paraId="0C24D1F7" w14:textId="77777777">
            <w:pPr>
              <w:jc w:val="both"/>
            </w:pPr>
            <w:r>
              <w:rPr>
                <w:u w:val="single"/>
              </w:rPr>
              <w:t>(1)  allow flexibility for an adequate investigation of the claim that is the subject of the appraisal; and</w:t>
            </w:r>
          </w:p>
          <w:p w:rsidR="00273BFD" w14:paraId="7B979D4F" w14:textId="77777777">
            <w:pPr>
              <w:jc w:val="both"/>
            </w:pPr>
            <w:r>
              <w:rPr>
                <w:u w:val="single"/>
              </w:rPr>
              <w:t>(2)  consider the time necessary to preserve the independence of the appraisers.</w:t>
            </w:r>
          </w:p>
          <w:p w:rsidR="00273BFD" w14:paraId="027AE2D4" w14:textId="77777777">
            <w:pPr>
              <w:jc w:val="both"/>
            </w:pPr>
          </w:p>
        </w:tc>
        <w:tc>
          <w:tcPr>
            <w:tcW w:w="6248" w:type="dxa"/>
          </w:tcPr>
          <w:p w:rsidR="00273BFD" w14:paraId="3F5C8DB2" w14:textId="77777777">
            <w:pPr>
              <w:jc w:val="both"/>
            </w:pPr>
            <w:r>
              <w:t>SECTION 1. Same as House version.</w:t>
            </w:r>
          </w:p>
          <w:p w:rsidR="00273BFD" w14:paraId="5CB4C5B9" w14:textId="77777777">
            <w:pPr>
              <w:jc w:val="both"/>
            </w:pPr>
          </w:p>
          <w:p w:rsidR="00273BFD" w14:paraId="1E1235CE" w14:textId="77777777">
            <w:pPr>
              <w:jc w:val="both"/>
            </w:pPr>
          </w:p>
        </w:tc>
        <w:tc>
          <w:tcPr>
            <w:tcW w:w="6244" w:type="dxa"/>
          </w:tcPr>
          <w:p w:rsidR="00273BFD" w14:paraId="3BA6F362" w14:textId="77777777">
            <w:pPr>
              <w:jc w:val="both"/>
            </w:pPr>
          </w:p>
        </w:tc>
      </w:tr>
      <w:tr w14:paraId="300A4E0F" w14:textId="77777777" w:rsidTr="00274CCA">
        <w:tblPrEx>
          <w:tblW w:w="4820" w:type="pct"/>
          <w:tblInd w:w="6" w:type="dxa"/>
          <w:tblLayout w:type="fixed"/>
          <w:tblCellMar>
            <w:left w:w="0" w:type="dxa"/>
            <w:bottom w:w="288" w:type="dxa"/>
            <w:right w:w="720" w:type="dxa"/>
          </w:tblCellMar>
          <w:tblLook w:val="01E0"/>
        </w:tblPrEx>
        <w:tc>
          <w:tcPr>
            <w:tcW w:w="6248" w:type="dxa"/>
          </w:tcPr>
          <w:p w:rsidR="00273BFD" w14:paraId="6C3B8FE3" w14:textId="77777777">
            <w:pPr>
              <w:jc w:val="both"/>
            </w:pPr>
            <w:r>
              <w:t xml:space="preserve">SECTION 2.  </w:t>
            </w:r>
            <w:r w:rsidRPr="00274CCA">
              <w:rPr>
                <w:highlight w:val="lightGray"/>
              </w:rPr>
              <w:t>Not later than January 1, 2024,</w:t>
            </w:r>
            <w:r>
              <w:t xml:space="preserve"> the commissioner of insurance shall adopt rules required by Section 2210.574, Insurance Code, as amended by this Act.</w:t>
            </w:r>
          </w:p>
          <w:p w:rsidR="00273BFD" w14:paraId="440BF2F2" w14:textId="77777777">
            <w:pPr>
              <w:jc w:val="both"/>
            </w:pPr>
          </w:p>
        </w:tc>
        <w:tc>
          <w:tcPr>
            <w:tcW w:w="6248" w:type="dxa"/>
          </w:tcPr>
          <w:p w:rsidR="00274CCA" w:rsidP="00274CCA" w14:paraId="558801ED" w14:textId="77777777">
            <w:pPr>
              <w:jc w:val="both"/>
            </w:pPr>
            <w:r>
              <w:t>SECTION 2.  The commissioner of insurance shall adopt rules required by Section 2210.574, Insurance Code, as amended by this Act.  [FA1]</w:t>
            </w:r>
          </w:p>
          <w:p w:rsidR="00273BFD" w14:paraId="15543207" w14:textId="77777777">
            <w:pPr>
              <w:jc w:val="both"/>
            </w:pPr>
          </w:p>
        </w:tc>
        <w:tc>
          <w:tcPr>
            <w:tcW w:w="6244" w:type="dxa"/>
          </w:tcPr>
          <w:p w:rsidR="00273BFD" w14:paraId="5A0FED2A" w14:textId="77777777">
            <w:pPr>
              <w:jc w:val="both"/>
            </w:pPr>
          </w:p>
        </w:tc>
      </w:tr>
      <w:tr w14:paraId="74B6D944" w14:textId="77777777" w:rsidTr="00274CCA">
        <w:tblPrEx>
          <w:tblW w:w="4820" w:type="pct"/>
          <w:tblInd w:w="6" w:type="dxa"/>
          <w:tblLayout w:type="fixed"/>
          <w:tblCellMar>
            <w:left w:w="0" w:type="dxa"/>
            <w:bottom w:w="288" w:type="dxa"/>
            <w:right w:w="720" w:type="dxa"/>
          </w:tblCellMar>
          <w:tblLook w:val="01E0"/>
        </w:tblPrEx>
        <w:tc>
          <w:tcPr>
            <w:tcW w:w="6248" w:type="dxa"/>
          </w:tcPr>
          <w:p w:rsidR="00273BFD" w14:paraId="757BDD13" w14:textId="77777777">
            <w:pPr>
              <w:jc w:val="both"/>
            </w:pPr>
            <w:r>
              <w:t xml:space="preserve">SECTION 3.  Section 2210.574, Insurance Code, as amended by this Act, applies only to an appraisal demanded on or after January 1, 2024.  An appraisal demanded before January 1, 2024, is governed by the law in effect on the date </w:t>
            </w:r>
            <w:r>
              <w:t>the appraisal was demanded, and that law is continued in effect for that purpose.</w:t>
            </w:r>
          </w:p>
          <w:p w:rsidR="00273BFD" w14:paraId="2BDD1D16" w14:textId="77777777">
            <w:pPr>
              <w:jc w:val="both"/>
            </w:pPr>
          </w:p>
        </w:tc>
        <w:tc>
          <w:tcPr>
            <w:tcW w:w="6248" w:type="dxa"/>
          </w:tcPr>
          <w:p w:rsidR="00273BFD" w14:paraId="5CB1A025" w14:textId="77777777">
            <w:pPr>
              <w:jc w:val="both"/>
            </w:pPr>
            <w:r>
              <w:t>SECTION 3. Same as House version.</w:t>
            </w:r>
          </w:p>
          <w:p w:rsidR="00273BFD" w14:paraId="25598C67" w14:textId="77777777">
            <w:pPr>
              <w:jc w:val="both"/>
            </w:pPr>
          </w:p>
          <w:p w:rsidR="00273BFD" w14:paraId="776C008A" w14:textId="77777777">
            <w:pPr>
              <w:jc w:val="both"/>
            </w:pPr>
          </w:p>
        </w:tc>
        <w:tc>
          <w:tcPr>
            <w:tcW w:w="6244" w:type="dxa"/>
          </w:tcPr>
          <w:p w:rsidR="00273BFD" w14:paraId="055DA606" w14:textId="77777777">
            <w:pPr>
              <w:jc w:val="both"/>
            </w:pPr>
          </w:p>
        </w:tc>
      </w:tr>
      <w:tr w14:paraId="66173AE9" w14:textId="77777777" w:rsidTr="00274CCA">
        <w:tblPrEx>
          <w:tblW w:w="4820" w:type="pct"/>
          <w:tblInd w:w="6" w:type="dxa"/>
          <w:tblLayout w:type="fixed"/>
          <w:tblCellMar>
            <w:left w:w="0" w:type="dxa"/>
            <w:bottom w:w="288" w:type="dxa"/>
            <w:right w:w="720" w:type="dxa"/>
          </w:tblCellMar>
          <w:tblLook w:val="01E0"/>
        </w:tblPrEx>
        <w:tc>
          <w:tcPr>
            <w:tcW w:w="6248" w:type="dxa"/>
          </w:tcPr>
          <w:p w:rsidR="00273BFD" w14:paraId="25BA0289" w14:textId="77777777">
            <w:pPr>
              <w:jc w:val="both"/>
            </w:pPr>
            <w:r>
              <w:t>SECTION 4.  This Act takes effect September 1, 2023.</w:t>
            </w:r>
          </w:p>
          <w:p w:rsidR="00273BFD" w14:paraId="6C000CEC" w14:textId="77777777">
            <w:pPr>
              <w:jc w:val="both"/>
            </w:pPr>
          </w:p>
        </w:tc>
        <w:tc>
          <w:tcPr>
            <w:tcW w:w="6248" w:type="dxa"/>
          </w:tcPr>
          <w:p w:rsidR="00273BFD" w14:paraId="58FC9AB1" w14:textId="77777777">
            <w:pPr>
              <w:jc w:val="both"/>
            </w:pPr>
            <w:r>
              <w:t>SECTION 4. Same as House version.</w:t>
            </w:r>
          </w:p>
          <w:p w:rsidR="00273BFD" w14:paraId="6DC753F0" w14:textId="77777777">
            <w:pPr>
              <w:jc w:val="both"/>
            </w:pPr>
          </w:p>
          <w:p w:rsidR="00273BFD" w14:paraId="12EBFDA6" w14:textId="77777777">
            <w:pPr>
              <w:jc w:val="both"/>
            </w:pPr>
          </w:p>
        </w:tc>
        <w:tc>
          <w:tcPr>
            <w:tcW w:w="6244" w:type="dxa"/>
          </w:tcPr>
          <w:p w:rsidR="00273BFD" w14:paraId="026E8CAB" w14:textId="77777777">
            <w:pPr>
              <w:jc w:val="both"/>
            </w:pPr>
          </w:p>
        </w:tc>
      </w:tr>
    </w:tbl>
    <w:p w:rsidR="0093684A" w14:paraId="243BDEBB" w14:textId="77777777"/>
    <w:sectPr w:rsidSect="00273BFD">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7AF" w14:paraId="12CA60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BFD" w14:paraId="36DD1F74" w14:textId="328484B1">
    <w:pPr>
      <w:tabs>
        <w:tab w:val="center" w:pos="9360"/>
        <w:tab w:val="right" w:pos="18720"/>
      </w:tabs>
    </w:pPr>
    <w:r>
      <w:fldChar w:fldCharType="begin"/>
    </w:r>
    <w:r>
      <w:instrText xml:space="preserve"> DOCPROPERTY  CCRF  \* MERGEFORMAT </w:instrText>
    </w:r>
    <w:r>
      <w:fldChar w:fldCharType="separate"/>
    </w:r>
    <w:r w:rsidR="00B327AF">
      <w:t xml:space="preserve"> </w:t>
    </w:r>
    <w:r w:rsidR="00B327AF">
      <w:fldChar w:fldCharType="end"/>
    </w:r>
    <w:r w:rsidR="00840F93">
      <w:tab/>
    </w:r>
    <w:r>
      <w:fldChar w:fldCharType="begin"/>
    </w:r>
    <w:r w:rsidR="00840F93">
      <w:instrText xml:space="preserve"> PAGE </w:instrText>
    </w:r>
    <w:r>
      <w:fldChar w:fldCharType="separate"/>
    </w:r>
    <w:r w:rsidR="00840F93">
      <w:t>2</w:t>
    </w:r>
    <w:r>
      <w:fldChar w:fldCharType="end"/>
    </w:r>
    <w:r w:rsidR="00840F93">
      <w:tab/>
    </w:r>
    <w:r>
      <w:fldChar w:fldCharType="begin"/>
    </w:r>
    <w:r>
      <w:instrText xml:space="preserve"> DOCPROPERTY  OTID  \* MERGEFORMAT </w:instrText>
    </w:r>
    <w:r>
      <w:fldChar w:fldCharType="separate"/>
    </w:r>
    <w:r w:rsidR="00B327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7AF" w14:paraId="625A30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7AF" w14:paraId="769309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7AF" w14:paraId="008E0B4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27AF" w14:paraId="4F41BCB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FD"/>
    <w:rsid w:val="00273BFD"/>
    <w:rsid w:val="00274CCA"/>
    <w:rsid w:val="007702D2"/>
    <w:rsid w:val="00840F93"/>
    <w:rsid w:val="0093684A"/>
    <w:rsid w:val="00B327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F51AA7B-58DA-4B70-ABDD-790C03E0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BF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7AF"/>
    <w:pPr>
      <w:tabs>
        <w:tab w:val="center" w:pos="4680"/>
        <w:tab w:val="right" w:pos="9360"/>
      </w:tabs>
    </w:pPr>
  </w:style>
  <w:style w:type="character" w:customStyle="1" w:styleId="HeaderChar">
    <w:name w:val="Header Char"/>
    <w:basedOn w:val="DefaultParagraphFont"/>
    <w:link w:val="Header"/>
    <w:uiPriority w:val="99"/>
    <w:rsid w:val="00B327AF"/>
    <w:rPr>
      <w:sz w:val="22"/>
    </w:rPr>
  </w:style>
  <w:style w:type="paragraph" w:styleId="Footer">
    <w:name w:val="footer"/>
    <w:basedOn w:val="Normal"/>
    <w:link w:val="FooterChar"/>
    <w:uiPriority w:val="99"/>
    <w:unhideWhenUsed/>
    <w:rsid w:val="00B327AF"/>
    <w:pPr>
      <w:tabs>
        <w:tab w:val="center" w:pos="4680"/>
        <w:tab w:val="right" w:pos="9360"/>
      </w:tabs>
    </w:pPr>
  </w:style>
  <w:style w:type="character" w:customStyle="1" w:styleId="FooterChar">
    <w:name w:val="Footer Char"/>
    <w:basedOn w:val="DefaultParagraphFont"/>
    <w:link w:val="Footer"/>
    <w:uiPriority w:val="99"/>
    <w:rsid w:val="00B327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289</Words>
  <Characters>1535</Characters>
  <Application>Microsoft Office Word</Application>
  <DocSecurity>0</DocSecurity>
  <Lines>58</Lines>
  <Paragraphs>21</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HB3310-SAA</dc:title>
  <dc:creator>Pamela Lam-Yip</dc:creator>
  <cp:lastModifiedBy>Christopher Overath</cp:lastModifiedBy>
  <cp:revision>2</cp:revision>
  <dcterms:created xsi:type="dcterms:W3CDTF">2023-05-20T15:03:00Z</dcterms:created>
  <dcterms:modified xsi:type="dcterms:W3CDTF">2023-05-20T15:03:00Z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