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794DC98" w14:textId="77777777" w:rsidTr="00446DB1">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33AA8" w14:paraId="2773D6EE" w14:textId="77777777">
            <w:pPr>
              <w:ind w:left="650"/>
              <w:jc w:val="center"/>
            </w:pPr>
            <w:r>
              <w:rPr>
                <w:b/>
              </w:rPr>
              <w:t>House Bill  4550</w:t>
            </w:r>
          </w:p>
          <w:p w:rsidR="00133AA8" w14:paraId="22093EDB" w14:textId="77777777">
            <w:pPr>
              <w:ind w:left="650"/>
              <w:jc w:val="center"/>
            </w:pPr>
            <w:r>
              <w:t>Senate Amendments</w:t>
            </w:r>
          </w:p>
          <w:p w:rsidR="00133AA8" w14:paraId="57BD1B98" w14:textId="77777777">
            <w:pPr>
              <w:ind w:left="650"/>
              <w:jc w:val="center"/>
            </w:pPr>
            <w:r>
              <w:t>Section-by-Section Analysis</w:t>
            </w:r>
          </w:p>
          <w:p w:rsidR="00133AA8" w14:paraId="0CD86D5D" w14:textId="77777777">
            <w:pPr>
              <w:jc w:val="center"/>
            </w:pPr>
          </w:p>
        </w:tc>
      </w:tr>
      <w:tr w14:paraId="1291AE7C" w14:textId="77777777" w:rsidTr="00446DB1">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33AA8" w14:paraId="34DF8AA9" w14:textId="77777777">
            <w:pPr>
              <w:jc w:val="center"/>
            </w:pPr>
            <w:r>
              <w:t>HOUSE VERSION</w:t>
            </w:r>
          </w:p>
        </w:tc>
        <w:tc>
          <w:tcPr>
            <w:tcW w:w="6248" w:type="dxa"/>
            <w:tcMar>
              <w:bottom w:w="188" w:type="dxa"/>
              <w:right w:w="0" w:type="dxa"/>
            </w:tcMar>
          </w:tcPr>
          <w:p w:rsidR="00133AA8" w14:paraId="7ED74E42" w14:textId="77777777">
            <w:pPr>
              <w:jc w:val="center"/>
            </w:pPr>
            <w:r>
              <w:t>SENATE VERSION (IE)</w:t>
            </w:r>
          </w:p>
        </w:tc>
        <w:tc>
          <w:tcPr>
            <w:tcW w:w="6244" w:type="dxa"/>
            <w:tcMar>
              <w:bottom w:w="188" w:type="dxa"/>
              <w:right w:w="0" w:type="dxa"/>
            </w:tcMar>
          </w:tcPr>
          <w:p w:rsidR="00133AA8" w14:paraId="24E22427" w14:textId="77777777">
            <w:pPr>
              <w:jc w:val="center"/>
            </w:pPr>
            <w:r>
              <w:t>CONFERENCE</w:t>
            </w:r>
          </w:p>
        </w:tc>
      </w:tr>
      <w:tr w14:paraId="31013B45"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14:paraId="79DF7501" w14:textId="77777777">
            <w:pPr>
              <w:jc w:val="both"/>
            </w:pPr>
            <w:r>
              <w:t>SECTION 1.  Section 2306.67022, Government Code, is amended to read as follows:</w:t>
            </w:r>
          </w:p>
          <w:p w:rsidR="00133AA8" w14:paraId="0C989CC8" w14:textId="77777777">
            <w:pPr>
              <w:jc w:val="both"/>
            </w:pPr>
            <w:r>
              <w:t xml:space="preserve">Sec. 2306.67022.  QUALIFIED ALLOCATION PLAN; MANUAL.  </w:t>
            </w:r>
            <w:r>
              <w:rPr>
                <w:u w:val="single"/>
              </w:rPr>
              <w:t xml:space="preserve">(a)  </w:t>
            </w:r>
            <w:r w:rsidRPr="00446DB1">
              <w:rPr>
                <w:u w:val="single"/>
              </w:rPr>
              <w:t>The</w:t>
            </w:r>
            <w:r>
              <w:t xml:space="preserve"> [</w:t>
            </w:r>
            <w:r w:rsidRPr="00446DB1">
              <w:rPr>
                <w:strike/>
                <w:highlight w:val="lightGray"/>
              </w:rPr>
              <w:t>At least</w:t>
            </w:r>
            <w:r>
              <w:rPr>
                <w:strike/>
              </w:rPr>
              <w:t xml:space="preserve"> biennially, the</w:t>
            </w:r>
            <w:r>
              <w:t xml:space="preserve">] board </w:t>
            </w:r>
            <w:r w:rsidRPr="00446DB1">
              <w:rPr>
                <w:u w:val="single"/>
              </w:rPr>
              <w:t>biennially</w:t>
            </w:r>
            <w:r>
              <w:t xml:space="preserve"> shall adopt a qualified allocation plan and a corresponding manual to provide information regarding the administration of and eligibility for the low income housing tax credit program.  The board may </w:t>
            </w:r>
            <w:r w:rsidRPr="00152B46">
              <w:rPr>
                <w:highlight w:val="lightGray"/>
                <w:u w:val="single"/>
              </w:rPr>
              <w:t>not</w:t>
            </w:r>
            <w:r>
              <w:t xml:space="preserve"> adopt </w:t>
            </w:r>
            <w:r w:rsidRPr="00446DB1">
              <w:rPr>
                <w:highlight w:val="lightGray"/>
                <w:u w:val="single"/>
              </w:rPr>
              <w:t>a</w:t>
            </w:r>
            <w:r w:rsidRPr="00446DB1">
              <w:rPr>
                <w:highlight w:val="lightGray"/>
              </w:rPr>
              <w:t xml:space="preserve"> [</w:t>
            </w:r>
            <w:r w:rsidRPr="00446DB1">
              <w:rPr>
                <w:strike/>
                <w:highlight w:val="lightGray"/>
              </w:rPr>
              <w:t>the</w:t>
            </w:r>
            <w:r w:rsidRPr="00446DB1">
              <w:rPr>
                <w:highlight w:val="lightGray"/>
              </w:rPr>
              <w:t>]</w:t>
            </w:r>
            <w:r>
              <w:t xml:space="preserve"> plan and manual </w:t>
            </w:r>
            <w:r w:rsidRPr="00152B46">
              <w:rPr>
                <w:highlight w:val="lightGray"/>
                <w:u w:val="single"/>
              </w:rPr>
              <w:t xml:space="preserve">more frequently than once during each </w:t>
            </w:r>
            <w:r w:rsidRPr="00446DB1">
              <w:rPr>
                <w:highlight w:val="lightGray"/>
                <w:u w:val="single"/>
              </w:rPr>
              <w:t>biennium</w:t>
            </w:r>
            <w:r w:rsidRPr="00446DB1">
              <w:rPr>
                <w:highlight w:val="lightGray"/>
              </w:rPr>
              <w:t xml:space="preserve"> [</w:t>
            </w:r>
            <w:r w:rsidRPr="00446DB1">
              <w:rPr>
                <w:strike/>
                <w:highlight w:val="lightGray"/>
              </w:rPr>
              <w:t>annually, as considered appropriate by the board</w:t>
            </w:r>
            <w:r w:rsidRPr="00446DB1">
              <w:rPr>
                <w:highlight w:val="lightGray"/>
              </w:rPr>
              <w:t>]</w:t>
            </w:r>
            <w:r>
              <w:t>.</w:t>
            </w:r>
          </w:p>
          <w:p w:rsidR="00133AA8" w14:paraId="55C34A0B" w14:textId="77777777">
            <w:pPr>
              <w:jc w:val="both"/>
            </w:pPr>
            <w:r>
              <w:rPr>
                <w:u w:val="single"/>
              </w:rPr>
              <w:t xml:space="preserve">(b)  The board </w:t>
            </w:r>
            <w:r w:rsidRPr="00152B46">
              <w:rPr>
                <w:highlight w:val="lightGray"/>
                <w:u w:val="single"/>
              </w:rPr>
              <w:t>biennially</w:t>
            </w:r>
            <w:r>
              <w:rPr>
                <w:u w:val="single"/>
              </w:rPr>
              <w:t xml:space="preserve"> shall adjust to reflect inflation any amount specified in the qualified allocation plan relating to the acceptable cost of a development by square foot.  The board shall use 2021 as the base year for the adjustment.</w:t>
            </w:r>
          </w:p>
          <w:p w:rsidR="00133AA8" w14:paraId="53EE1620" w14:textId="70E39E06">
            <w:pPr>
              <w:jc w:val="both"/>
            </w:pPr>
            <w:r>
              <w:rPr>
                <w:u w:val="single"/>
              </w:rPr>
              <w:t>(c)  In making the computation under Subsection (b), the board shall consider the Consumer Price Index for All Urban Consumers, or its successor in function, published by the United States Bureau of Labor Statistics.</w:t>
            </w:r>
          </w:p>
        </w:tc>
        <w:tc>
          <w:tcPr>
            <w:tcW w:w="6248" w:type="dxa"/>
          </w:tcPr>
          <w:p w:rsidR="00133AA8" w14:paraId="6FD39E24" w14:textId="77777777">
            <w:pPr>
              <w:jc w:val="both"/>
            </w:pPr>
            <w:r>
              <w:t>SECTION 1.  Section 2306.67022, Government Code, is amended to read as follows:</w:t>
            </w:r>
          </w:p>
          <w:p w:rsidR="00133AA8" w14:paraId="2466C716" w14:textId="4D96C141">
            <w:pPr>
              <w:jc w:val="both"/>
            </w:pPr>
            <w:r>
              <w:t xml:space="preserve">Sec. 2306.67022.  QUALIFIED ALLOCATION PLAN; MANUAL.  </w:t>
            </w:r>
            <w:r>
              <w:rPr>
                <w:u w:val="single"/>
              </w:rPr>
              <w:t>(a)</w:t>
            </w:r>
            <w:r>
              <w:t xml:space="preserve">  </w:t>
            </w:r>
            <w:r w:rsidRPr="00446DB1">
              <w:rPr>
                <w:highlight w:val="lightGray"/>
              </w:rPr>
              <w:t>At least</w:t>
            </w:r>
            <w:r>
              <w:t xml:space="preserve"> biennially, the board shall adopt a qualified allocation plan and a corresponding manual to provide information regarding the administration of and eligibility for the low income housing tax credit program.  The board may adopt </w:t>
            </w:r>
            <w:r w:rsidRPr="00446DB1">
              <w:rPr>
                <w:highlight w:val="lightGray"/>
              </w:rPr>
              <w:t>the</w:t>
            </w:r>
            <w:r>
              <w:t xml:space="preserve"> plan and manual </w:t>
            </w:r>
            <w:r w:rsidRPr="00446DB1">
              <w:rPr>
                <w:highlight w:val="lightGray"/>
              </w:rPr>
              <w:t>annually, as considered appropriate by the board</w:t>
            </w:r>
            <w:r>
              <w:t>.</w:t>
            </w:r>
          </w:p>
          <w:p w:rsidR="00152B46" w14:paraId="2B80A684" w14:textId="77777777">
            <w:pPr>
              <w:jc w:val="both"/>
            </w:pPr>
          </w:p>
          <w:p w:rsidR="00133AA8" w14:paraId="15F06226" w14:textId="77777777">
            <w:pPr>
              <w:jc w:val="both"/>
            </w:pPr>
            <w:r>
              <w:rPr>
                <w:u w:val="single"/>
              </w:rPr>
              <w:t>(b)  The board shall adjust to reflect inflation any amount specified in the qualified allocation plan relating to the acceptable cost of a development by square foot.  The board shall use 2021 as the base year for the adjustment.</w:t>
            </w:r>
          </w:p>
          <w:p w:rsidR="00133AA8" w:rsidP="002B7BA0" w14:paraId="7CEC528A" w14:textId="59782300">
            <w:pPr>
              <w:jc w:val="both"/>
            </w:pPr>
            <w:r>
              <w:rPr>
                <w:u w:val="single"/>
              </w:rPr>
              <w:t>(c)  In making the computation under Subsection (b), the board shall consider the Consumer Price Index for All Urban Consumers, or its successor in function, published by the United States Bureau of Labor Statistics.</w:t>
            </w:r>
            <w:r>
              <w:t xml:space="preserve">  [FA1,3rd]</w:t>
            </w:r>
          </w:p>
        </w:tc>
        <w:tc>
          <w:tcPr>
            <w:tcW w:w="6244" w:type="dxa"/>
          </w:tcPr>
          <w:p w:rsidR="00133AA8" w14:paraId="11277005" w14:textId="77777777">
            <w:pPr>
              <w:jc w:val="both"/>
            </w:pPr>
          </w:p>
        </w:tc>
      </w:tr>
      <w:tr w14:paraId="71C393EC"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14:paraId="350A1EB2" w14:textId="77777777">
            <w:pPr>
              <w:jc w:val="both"/>
            </w:pPr>
            <w:r w:rsidRPr="00152B46">
              <w:rPr>
                <w:highlight w:val="lightGray"/>
              </w:rPr>
              <w:t>No equivalent provision.</w:t>
            </w:r>
          </w:p>
          <w:p w:rsidR="00133AA8" w14:paraId="604851AD" w14:textId="77777777">
            <w:pPr>
              <w:jc w:val="both"/>
            </w:pPr>
          </w:p>
        </w:tc>
        <w:tc>
          <w:tcPr>
            <w:tcW w:w="6248" w:type="dxa"/>
          </w:tcPr>
          <w:p w:rsidR="00133AA8" w14:paraId="517250D5" w14:textId="77777777">
            <w:pPr>
              <w:jc w:val="both"/>
            </w:pPr>
            <w:r>
              <w:t xml:space="preserve">SECTION __.Section 2306.6711(b), Government Code, is amended to read as follows: </w:t>
            </w:r>
          </w:p>
          <w:p w:rsidR="00133AA8" w:rsidP="002B7BA0" w14:paraId="29F6F988" w14:textId="67324304">
            <w:pPr>
              <w:jc w:val="both"/>
            </w:pPr>
            <w:r>
              <w:t xml:space="preserve">(b) Not later than the deadline specified in the qualified allocation plan, the board shall issue commitments for available housing tax credits based on the application evaluation process provided by Section 2306.6710. The board may not allocate to an applicant housing tax credits in any unnecessary amount, as determined by the department’s underwriting policy and by federal law, and in any event may not allocate to the applicant housing tax credits in an amount greater than </w:t>
            </w:r>
            <w:r>
              <w:rPr>
                <w:u w:val="single"/>
              </w:rPr>
              <w:t>$6</w:t>
            </w:r>
            <w:r>
              <w:rPr>
                <w:strike/>
              </w:rPr>
              <w:t xml:space="preserve">[$3] </w:t>
            </w:r>
            <w:r>
              <w:t>million in a single application round or to an individual development more than $2 million in a single application round.  [FA1(2)]</w:t>
            </w:r>
          </w:p>
        </w:tc>
        <w:tc>
          <w:tcPr>
            <w:tcW w:w="6244" w:type="dxa"/>
          </w:tcPr>
          <w:p w:rsidR="00133AA8" w14:paraId="02CF9CEB" w14:textId="77777777">
            <w:pPr>
              <w:jc w:val="both"/>
            </w:pPr>
          </w:p>
        </w:tc>
      </w:tr>
      <w:tr w14:paraId="21E83FDB"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14:paraId="770EB98C" w14:textId="77777777">
            <w:pPr>
              <w:jc w:val="both"/>
            </w:pPr>
            <w:r w:rsidRPr="00152B46">
              <w:rPr>
                <w:highlight w:val="lightGray"/>
              </w:rPr>
              <w:t>No equivalent provision.</w:t>
            </w:r>
          </w:p>
          <w:p w:rsidR="00133AA8" w14:paraId="0AF12786" w14:textId="77777777">
            <w:pPr>
              <w:jc w:val="both"/>
            </w:pPr>
          </w:p>
        </w:tc>
        <w:tc>
          <w:tcPr>
            <w:tcW w:w="6248" w:type="dxa"/>
          </w:tcPr>
          <w:p w:rsidR="00133AA8" w14:paraId="6085F64D" w14:textId="77777777">
            <w:pPr>
              <w:jc w:val="both"/>
            </w:pPr>
            <w:r>
              <w:t xml:space="preserve">SECTION __.Section 2306.6724, Government Code, is amended by adding Subsection (g) to read as follows: </w:t>
            </w:r>
          </w:p>
          <w:p w:rsidR="00133AA8" w:rsidP="002B7BA0" w14:paraId="4DEA5EB0" w14:textId="0E41CD98">
            <w:pPr>
              <w:jc w:val="both"/>
            </w:pPr>
            <w:r>
              <w:rPr>
                <w:u w:val="single"/>
              </w:rPr>
              <w:t>(g) Notwithstanding any other law, the department shall issue a final commitment for an allocation of housing tax credits not later than the 120th day following the date on which the department receives from an applicant a complete cost certification package, as prescribed by department rule, and the applicant has fulfilled any requests for information for the issuance of Internal Revenue Service Form 8609, or that form’s successor.</w:t>
            </w:r>
            <w:r>
              <w:t xml:space="preserve">  [FA1(2)]</w:t>
            </w:r>
          </w:p>
        </w:tc>
        <w:tc>
          <w:tcPr>
            <w:tcW w:w="6244" w:type="dxa"/>
          </w:tcPr>
          <w:p w:rsidR="00133AA8" w14:paraId="333F63E6" w14:textId="77777777">
            <w:pPr>
              <w:jc w:val="both"/>
            </w:pPr>
          </w:p>
        </w:tc>
      </w:tr>
      <w:tr w14:paraId="7F8F987F"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14:paraId="65E66B1B" w14:textId="77777777">
            <w:pPr>
              <w:jc w:val="both"/>
            </w:pPr>
            <w:r w:rsidRPr="00152B46">
              <w:rPr>
                <w:highlight w:val="lightGray"/>
              </w:rPr>
              <w:t>No equivalent provision.</w:t>
            </w:r>
          </w:p>
          <w:p w:rsidR="00133AA8" w14:paraId="53A7CDA3" w14:textId="77777777">
            <w:pPr>
              <w:jc w:val="both"/>
            </w:pPr>
          </w:p>
        </w:tc>
        <w:tc>
          <w:tcPr>
            <w:tcW w:w="6248" w:type="dxa"/>
          </w:tcPr>
          <w:p w:rsidR="00133AA8" w:rsidP="002B7BA0" w14:paraId="07982418" w14:textId="0D78EB3B">
            <w:pPr>
              <w:jc w:val="both"/>
            </w:pPr>
            <w:r>
              <w:t>SECTION __.Section 2306.1112, Government Code, is repealed.  [FA1(2)]</w:t>
            </w:r>
          </w:p>
        </w:tc>
        <w:tc>
          <w:tcPr>
            <w:tcW w:w="6244" w:type="dxa"/>
          </w:tcPr>
          <w:p w:rsidR="00133AA8" w14:paraId="72AD5B2C" w14:textId="77777777">
            <w:pPr>
              <w:jc w:val="both"/>
            </w:pPr>
          </w:p>
        </w:tc>
      </w:tr>
      <w:tr w14:paraId="07C56F04"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14:paraId="42DA4788" w14:textId="77777777">
            <w:pPr>
              <w:jc w:val="both"/>
            </w:pPr>
            <w:r w:rsidRPr="00152B46">
              <w:rPr>
                <w:highlight w:val="lightGray"/>
              </w:rPr>
              <w:t>No equivalent provision.</w:t>
            </w:r>
          </w:p>
          <w:p w:rsidR="00133AA8" w14:paraId="4AF70EF0" w14:textId="77777777">
            <w:pPr>
              <w:jc w:val="both"/>
            </w:pPr>
          </w:p>
        </w:tc>
        <w:tc>
          <w:tcPr>
            <w:tcW w:w="6248" w:type="dxa"/>
          </w:tcPr>
          <w:p w:rsidR="00133AA8" w:rsidP="002B7BA0" w14:paraId="6D4DF2A7" w14:textId="72E4F3F2">
            <w:pPr>
              <w:jc w:val="both"/>
            </w:pPr>
            <w:r>
              <w:t>SECTION __.Sections 2306.111, 2306.6711, and 2306.6724, Government Code, as amended by this Act, apply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  [FA1(2)]</w:t>
            </w:r>
          </w:p>
        </w:tc>
        <w:tc>
          <w:tcPr>
            <w:tcW w:w="6244" w:type="dxa"/>
          </w:tcPr>
          <w:p w:rsidR="00133AA8" w14:paraId="6262EA5A" w14:textId="77777777">
            <w:pPr>
              <w:jc w:val="both"/>
            </w:pPr>
          </w:p>
        </w:tc>
      </w:tr>
      <w:tr w14:paraId="2D890BD5"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rsidP="002B7BA0" w14:paraId="17DF4CA4" w14:textId="56F3A72A">
            <w:pPr>
              <w:jc w:val="both"/>
            </w:pPr>
            <w:r>
              <w:t xml:space="preserve">SECTION 2.  </w:t>
            </w:r>
            <w:r w:rsidRPr="00446DB1">
              <w:rPr>
                <w:highlight w:val="lightGray"/>
              </w:rPr>
              <w:t>The change in law made</w:t>
            </w:r>
            <w:r>
              <w:t xml:space="preserve"> by this Act applies to the adoption of a qualified allocation plan and corresponding manual for the state fiscal biennium beginning September 1, 2023.</w:t>
            </w:r>
          </w:p>
        </w:tc>
        <w:tc>
          <w:tcPr>
            <w:tcW w:w="6248" w:type="dxa"/>
          </w:tcPr>
          <w:p w:rsidR="00133AA8" w:rsidP="002B7BA0" w14:paraId="512D183E" w14:textId="546F8FFC">
            <w:pPr>
              <w:jc w:val="both"/>
            </w:pPr>
            <w:r>
              <w:t xml:space="preserve">SECTION 2.  </w:t>
            </w:r>
            <w:r w:rsidRPr="00446DB1">
              <w:rPr>
                <w:highlight w:val="lightGray"/>
              </w:rPr>
              <w:t>Section 2306.67022, Government Code as amended</w:t>
            </w:r>
            <w:r>
              <w:t xml:space="preserve"> by this Act, applies to the adoption of a qualified allocation plan and corresponding manual for the state fiscal biennium beginning September 1, 2023.  [FA1(1)]</w:t>
            </w:r>
          </w:p>
        </w:tc>
        <w:tc>
          <w:tcPr>
            <w:tcW w:w="6244" w:type="dxa"/>
          </w:tcPr>
          <w:p w:rsidR="00133AA8" w14:paraId="4A07EFD8" w14:textId="77777777">
            <w:pPr>
              <w:jc w:val="both"/>
            </w:pPr>
          </w:p>
        </w:tc>
      </w:tr>
      <w:tr w14:paraId="3C993659" w14:textId="77777777" w:rsidTr="00446DB1">
        <w:tblPrEx>
          <w:tblW w:w="4820" w:type="pct"/>
          <w:tblInd w:w="6" w:type="dxa"/>
          <w:tblLayout w:type="fixed"/>
          <w:tblCellMar>
            <w:left w:w="0" w:type="dxa"/>
            <w:bottom w:w="288" w:type="dxa"/>
            <w:right w:w="720" w:type="dxa"/>
          </w:tblCellMar>
          <w:tblLook w:val="01E0"/>
        </w:tblPrEx>
        <w:tc>
          <w:tcPr>
            <w:tcW w:w="6248" w:type="dxa"/>
          </w:tcPr>
          <w:p w:rsidR="00133AA8" w:rsidP="002B7BA0" w14:paraId="42A5A623" w14:textId="5C60D052">
            <w:pPr>
              <w:jc w:val="both"/>
            </w:pPr>
            <w:r>
              <w:t>SECTION 3.  This Act takes effect September 1, 2023.</w:t>
            </w:r>
          </w:p>
        </w:tc>
        <w:tc>
          <w:tcPr>
            <w:tcW w:w="6248" w:type="dxa"/>
          </w:tcPr>
          <w:p w:rsidR="00133AA8" w:rsidP="002B7BA0" w14:paraId="6307457C" w14:textId="61F4A32C">
            <w:pPr>
              <w:jc w:val="both"/>
            </w:pPr>
            <w:r>
              <w:t>SECTION 3. Same as House version.</w:t>
            </w:r>
          </w:p>
        </w:tc>
        <w:tc>
          <w:tcPr>
            <w:tcW w:w="6244" w:type="dxa"/>
          </w:tcPr>
          <w:p w:rsidR="00133AA8" w14:paraId="2901940B" w14:textId="77777777">
            <w:pPr>
              <w:jc w:val="both"/>
            </w:pPr>
          </w:p>
        </w:tc>
      </w:tr>
    </w:tbl>
    <w:p w:rsidR="00A55331" w:rsidRPr="003613D8" w14:paraId="5CC6D1B1" w14:textId="77777777">
      <w:pPr>
        <w:rPr>
          <w:sz w:val="2"/>
          <w:szCs w:val="2"/>
        </w:rPr>
      </w:pPr>
    </w:p>
    <w:sectPr w:rsidSect="00133AA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4A5" w14:paraId="7791DD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AA8" w14:paraId="306EF640" w14:textId="34488DA9">
    <w:pPr>
      <w:tabs>
        <w:tab w:val="center" w:pos="9360"/>
        <w:tab w:val="right" w:pos="18720"/>
      </w:tabs>
    </w:pPr>
    <w:r>
      <w:fldChar w:fldCharType="begin"/>
    </w:r>
    <w:r>
      <w:instrText xml:space="preserve"> DOCPROPERTY  CCRF  \* MERGEFORMAT </w:instrText>
    </w:r>
    <w:r>
      <w:fldChar w:fldCharType="separate"/>
    </w:r>
    <w:r w:rsidR="00446DB1">
      <w:t xml:space="preserve"> </w:t>
    </w:r>
    <w:r w:rsidR="00446DB1">
      <w:fldChar w:fldCharType="end"/>
    </w:r>
    <w:r w:rsidR="009D7730">
      <w:tab/>
    </w:r>
    <w:r>
      <w:fldChar w:fldCharType="begin"/>
    </w:r>
    <w:r w:rsidR="009D7730">
      <w:instrText xml:space="preserve"> PAGE </w:instrText>
    </w:r>
    <w:r>
      <w:fldChar w:fldCharType="separate"/>
    </w:r>
    <w:r w:rsidR="009D7730">
      <w:t>2</w:t>
    </w:r>
    <w:r>
      <w:fldChar w:fldCharType="end"/>
    </w:r>
    <w:r w:rsidR="009D7730">
      <w:tab/>
    </w:r>
    <w:r>
      <w:fldChar w:fldCharType="begin"/>
    </w:r>
    <w:r>
      <w:instrText xml:space="preserve"> DOCPROPERTY  OTID  \* MERGEFORMAT </w:instrText>
    </w:r>
    <w:r>
      <w:fldChar w:fldCharType="separate"/>
    </w:r>
    <w:r w:rsidR="00446D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4A5" w14:paraId="542B98B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4A5" w14:paraId="2948AB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4A5" w14:paraId="2BA4DE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4A5" w14:paraId="5D5B147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A8"/>
    <w:rsid w:val="00133AA8"/>
    <w:rsid w:val="00152B46"/>
    <w:rsid w:val="002B7BA0"/>
    <w:rsid w:val="003613D8"/>
    <w:rsid w:val="00446DB1"/>
    <w:rsid w:val="009D7730"/>
    <w:rsid w:val="00A55331"/>
    <w:rsid w:val="00D54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F5B76D9-F45B-4D5D-AEFF-887AD7FF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A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4A5"/>
    <w:pPr>
      <w:tabs>
        <w:tab w:val="center" w:pos="4680"/>
        <w:tab w:val="right" w:pos="9360"/>
      </w:tabs>
    </w:pPr>
  </w:style>
  <w:style w:type="character" w:customStyle="1" w:styleId="HeaderChar">
    <w:name w:val="Header Char"/>
    <w:basedOn w:val="DefaultParagraphFont"/>
    <w:link w:val="Header"/>
    <w:uiPriority w:val="99"/>
    <w:rsid w:val="00D544A5"/>
    <w:rPr>
      <w:sz w:val="22"/>
    </w:rPr>
  </w:style>
  <w:style w:type="paragraph" w:styleId="Footer">
    <w:name w:val="footer"/>
    <w:basedOn w:val="Normal"/>
    <w:link w:val="FooterChar"/>
    <w:uiPriority w:val="99"/>
    <w:unhideWhenUsed/>
    <w:rsid w:val="00D544A5"/>
    <w:pPr>
      <w:tabs>
        <w:tab w:val="center" w:pos="4680"/>
        <w:tab w:val="right" w:pos="9360"/>
      </w:tabs>
    </w:pPr>
  </w:style>
  <w:style w:type="character" w:customStyle="1" w:styleId="FooterChar">
    <w:name w:val="Footer Char"/>
    <w:basedOn w:val="DefaultParagraphFont"/>
    <w:link w:val="Footer"/>
    <w:uiPriority w:val="99"/>
    <w:rsid w:val="00D544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HB4550-SAA</dc:title>
  <dc:creator>Anna Abraham</dc:creator>
  <cp:lastModifiedBy>Wendy Spinks</cp:lastModifiedBy>
  <cp:revision>2</cp:revision>
  <dcterms:created xsi:type="dcterms:W3CDTF">2023-05-24T15:32:00Z</dcterms:created>
  <dcterms:modified xsi:type="dcterms:W3CDTF">2023-05-24T15:32:00Z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