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p w:rsidR="003013DF" w14:paraId="6D202114" w14:textId="77777777"/>
    <w:tbl>
      <w:tblPr>
        <w:tblW w:w="4820" w:type="pct"/>
        <w:tblInd w:w="6" w:type="dxa"/>
        <w:tblLayout w:type="fixed"/>
        <w:tblCellMar>
          <w:left w:w="0" w:type="dxa"/>
          <w:bottom w:w="288" w:type="dxa"/>
          <w:right w:w="720" w:type="dxa"/>
        </w:tblCellMar>
        <w:tblLook w:val="01E0"/>
      </w:tblPr>
      <w:tblGrid>
        <w:gridCol w:w="6016"/>
        <w:gridCol w:w="6017"/>
        <w:gridCol w:w="6013"/>
      </w:tblGrid>
      <w:tr w14:paraId="172B435A" w14:textId="77777777" w:rsidTr="000D3930">
        <w:tblPrEx>
          <w:tblW w:w="4820" w:type="pct"/>
          <w:tblInd w:w="6" w:type="dxa"/>
          <w:tblLayout w:type="fixed"/>
          <w:tblCellMar>
            <w:left w:w="0" w:type="dxa"/>
            <w:bottom w:w="288" w:type="dxa"/>
            <w:right w:w="720" w:type="dxa"/>
          </w:tblCellMar>
          <w:tblLook w:val="01E0"/>
        </w:tblPrEx>
        <w:trPr>
          <w:cantSplit/>
          <w:tblHeader/>
        </w:trPr>
        <w:tc>
          <w:tcPr>
            <w:tcW w:w="18046" w:type="dxa"/>
            <w:gridSpan w:val="3"/>
          </w:tcPr>
          <w:p w:rsidR="002B3885" w14:paraId="58E14868" w14:textId="7CF77C10">
            <w:pPr>
              <w:ind w:left="650"/>
              <w:jc w:val="center"/>
            </w:pPr>
            <w:r>
              <w:rPr>
                <w:b/>
              </w:rPr>
              <w:t xml:space="preserve">House Bill  </w:t>
            </w:r>
            <w:r w:rsidR="00025B09">
              <w:rPr>
                <w:b/>
              </w:rPr>
              <w:t>4</w:t>
            </w:r>
            <w:r w:rsidR="00334649">
              <w:rPr>
                <w:b/>
              </w:rPr>
              <w:t>611</w:t>
            </w:r>
          </w:p>
          <w:p w:rsidR="002B3885" w14:paraId="55A3A628" w14:textId="77777777">
            <w:pPr>
              <w:ind w:left="650"/>
              <w:jc w:val="center"/>
            </w:pPr>
            <w:r>
              <w:t>Senate Amendments</w:t>
            </w:r>
          </w:p>
          <w:p w:rsidR="002B3885" w14:paraId="022A2759" w14:textId="77777777">
            <w:pPr>
              <w:ind w:left="650"/>
              <w:jc w:val="center"/>
            </w:pPr>
            <w:r>
              <w:t>Section-by-Section Analysis</w:t>
            </w:r>
          </w:p>
          <w:p w:rsidR="002B3885" w14:paraId="3A16B64D" w14:textId="77777777">
            <w:pPr>
              <w:jc w:val="center"/>
            </w:pPr>
          </w:p>
          <w:p w:rsidR="00CE2110" w14:paraId="26343A81" w14:textId="5ABDF170">
            <w:pPr>
              <w:jc w:val="center"/>
            </w:pPr>
            <w:r w:rsidRPr="00CE2110">
              <w:t xml:space="preserve">All SECTIONS </w:t>
            </w:r>
            <w:r w:rsidR="00F2509C">
              <w:t>of</w:t>
            </w:r>
            <w:r w:rsidRPr="00CE2110">
              <w:t xml:space="preserve"> the Senate version of H</w:t>
            </w:r>
            <w:r>
              <w:t>.</w:t>
            </w:r>
            <w:r w:rsidRPr="00CE2110">
              <w:t>B</w:t>
            </w:r>
            <w:r>
              <w:t>.</w:t>
            </w:r>
            <w:r w:rsidRPr="00CE2110">
              <w:t xml:space="preserve"> </w:t>
            </w:r>
            <w:r w:rsidR="00724409">
              <w:t>4611</w:t>
            </w:r>
            <w:r w:rsidRPr="00CE2110">
              <w:t xml:space="preserve"> are the same as the House version except as </w:t>
            </w:r>
            <w:r w:rsidR="00F2509C">
              <w:t>indicated</w:t>
            </w:r>
            <w:r w:rsidRPr="00CE2110">
              <w:t xml:space="preserve"> below</w:t>
            </w:r>
            <w:r>
              <w:t>.</w:t>
            </w:r>
          </w:p>
        </w:tc>
      </w:tr>
      <w:tr w14:paraId="4250D5C4" w14:textId="77777777" w:rsidTr="000D3930">
        <w:tblPrEx>
          <w:tblW w:w="4820" w:type="pct"/>
          <w:tblInd w:w="6" w:type="dxa"/>
          <w:tblLayout w:type="fixed"/>
          <w:tblCellMar>
            <w:left w:w="0" w:type="dxa"/>
            <w:bottom w:w="288" w:type="dxa"/>
            <w:right w:w="720" w:type="dxa"/>
          </w:tblCellMar>
          <w:tblLook w:val="01E0"/>
        </w:tblPrEx>
        <w:trPr>
          <w:cantSplit/>
          <w:tblHeader/>
        </w:trPr>
        <w:tc>
          <w:tcPr>
            <w:tcW w:w="6016" w:type="dxa"/>
            <w:tcMar>
              <w:bottom w:w="188" w:type="dxa"/>
              <w:right w:w="0" w:type="dxa"/>
            </w:tcMar>
          </w:tcPr>
          <w:p w:rsidR="002B3885" w14:paraId="71C3A12B" w14:textId="77777777">
            <w:pPr>
              <w:jc w:val="center"/>
            </w:pPr>
            <w:r>
              <w:t>HOUSE VERSION</w:t>
            </w:r>
          </w:p>
        </w:tc>
        <w:tc>
          <w:tcPr>
            <w:tcW w:w="6017" w:type="dxa"/>
            <w:tcMar>
              <w:bottom w:w="188" w:type="dxa"/>
              <w:right w:w="0" w:type="dxa"/>
            </w:tcMar>
          </w:tcPr>
          <w:p w:rsidR="002B3885" w14:paraId="790AE7C7" w14:textId="5AE9739E">
            <w:pPr>
              <w:jc w:val="center"/>
            </w:pPr>
            <w:r>
              <w:t>SENATE VERSION (</w:t>
            </w:r>
            <w:r w:rsidR="007C4988">
              <w:t>IE</w:t>
            </w:r>
            <w:r>
              <w:t>)</w:t>
            </w:r>
          </w:p>
        </w:tc>
        <w:tc>
          <w:tcPr>
            <w:tcW w:w="6013" w:type="dxa"/>
            <w:tcMar>
              <w:bottom w:w="188" w:type="dxa"/>
              <w:right w:w="0" w:type="dxa"/>
            </w:tcMar>
          </w:tcPr>
          <w:p w:rsidR="002B3885" w14:paraId="326AB28F" w14:textId="77777777">
            <w:pPr>
              <w:jc w:val="center"/>
            </w:pPr>
            <w:r>
              <w:t>CONFERENCE</w:t>
            </w:r>
          </w:p>
        </w:tc>
      </w:tr>
      <w:tr w14:paraId="4D385821" w14:textId="77777777" w:rsidTr="000D3930">
        <w:tblPrEx>
          <w:tblW w:w="4820" w:type="pct"/>
          <w:tblInd w:w="6" w:type="dxa"/>
          <w:tblLayout w:type="fixed"/>
          <w:tblCellMar>
            <w:left w:w="0" w:type="dxa"/>
            <w:bottom w:w="288" w:type="dxa"/>
            <w:right w:w="720" w:type="dxa"/>
          </w:tblCellMar>
          <w:tblLook w:val="01E0"/>
        </w:tblPrEx>
        <w:tc>
          <w:tcPr>
            <w:tcW w:w="6016" w:type="dxa"/>
          </w:tcPr>
          <w:p w:rsidR="00335D51" w:rsidP="00947108" w14:paraId="5C0F25EC" w14:textId="57288F30">
            <w:pPr>
              <w:jc w:val="both"/>
              <w:rPr>
                <w:szCs w:val="22"/>
              </w:rPr>
            </w:pPr>
            <w:r>
              <w:t>SECTION 1.01.  Subtitle I, Title 4, Government Code, is amended</w:t>
            </w:r>
            <w:r w:rsidR="004350F0">
              <w:t>…</w:t>
            </w:r>
          </w:p>
          <w:p w:rsidR="00335D51" w:rsidP="00947108" w14:paraId="3514406E" w14:textId="2E08A80F">
            <w:pPr>
              <w:jc w:val="both"/>
              <w:rPr>
                <w:szCs w:val="22"/>
              </w:rPr>
            </w:pPr>
          </w:p>
          <w:p w:rsidR="00947108" w:rsidRPr="00947108" w:rsidP="00947108" w14:paraId="4264E85D" w14:textId="4C2EA8F3">
            <w:pPr>
              <w:jc w:val="both"/>
              <w:rPr>
                <w:szCs w:val="22"/>
              </w:rPr>
            </w:pPr>
            <w:r w:rsidRPr="00947108">
              <w:rPr>
                <w:szCs w:val="22"/>
              </w:rPr>
              <w:t>Sec. 544.0502.  PAYMENT RECOVERY EFFORTS BY CERTAIN PERSONS; RETENTION OF RECOVERED AMOUNTS.  (a)  In this section, "contracted entity" means an entity with which a managed care organization contracts under Section 544.0352(a)(2).</w:t>
            </w:r>
          </w:p>
          <w:p w:rsidR="00947108" w:rsidRPr="00947108" w:rsidP="00947108" w14:paraId="34330A22" w14:textId="77777777">
            <w:pPr>
              <w:jc w:val="both"/>
              <w:rPr>
                <w:szCs w:val="22"/>
              </w:rPr>
            </w:pPr>
            <w:r w:rsidRPr="00947108">
              <w:rPr>
                <w:szCs w:val="22"/>
              </w:rPr>
              <w:t>(b)  A managed care organization or the organization's contracted entity that discovers Medicaid or child health plan program fraud or abuse shall:</w:t>
            </w:r>
          </w:p>
          <w:p w:rsidR="00947108" w:rsidRPr="00947108" w:rsidP="00947108" w14:paraId="251885BB" w14:textId="77777777">
            <w:pPr>
              <w:jc w:val="both"/>
              <w:rPr>
                <w:szCs w:val="22"/>
              </w:rPr>
            </w:pPr>
            <w:r w:rsidRPr="00947108">
              <w:rPr>
                <w:szCs w:val="22"/>
              </w:rPr>
              <w:t>(1)  immediately submit written notice to the office of inspector general and the office of the attorney general that:</w:t>
            </w:r>
          </w:p>
          <w:p w:rsidR="00947108" w:rsidRPr="00947108" w:rsidP="00947108" w14:paraId="38CF266F" w14:textId="77777777">
            <w:pPr>
              <w:jc w:val="both"/>
              <w:rPr>
                <w:szCs w:val="22"/>
              </w:rPr>
            </w:pPr>
            <w:r w:rsidRPr="00947108">
              <w:rPr>
                <w:szCs w:val="22"/>
              </w:rPr>
              <w:t>(A)  is in the form and manner the office of inspector general prescribes; and</w:t>
            </w:r>
          </w:p>
          <w:p w:rsidR="00947108" w:rsidRPr="00947108" w:rsidP="00947108" w14:paraId="7E023F72" w14:textId="77777777">
            <w:pPr>
              <w:jc w:val="both"/>
              <w:rPr>
                <w:szCs w:val="22"/>
              </w:rPr>
            </w:pPr>
            <w:r w:rsidRPr="00947108">
              <w:rPr>
                <w:szCs w:val="22"/>
              </w:rPr>
              <w:t>(B)  contains a detailed description of:</w:t>
            </w:r>
          </w:p>
          <w:p w:rsidR="00947108" w:rsidRPr="00947108" w:rsidP="00947108" w14:paraId="3748F16D" w14:textId="77777777">
            <w:pPr>
              <w:jc w:val="both"/>
              <w:rPr>
                <w:szCs w:val="22"/>
              </w:rPr>
            </w:pPr>
            <w:r w:rsidRPr="00947108">
              <w:rPr>
                <w:szCs w:val="22"/>
              </w:rPr>
              <w:t>(i)  the fraud or abuse; and</w:t>
            </w:r>
          </w:p>
          <w:p w:rsidR="00947108" w:rsidRPr="00947108" w:rsidP="00947108" w14:paraId="0462A390" w14:textId="77777777">
            <w:pPr>
              <w:jc w:val="both"/>
              <w:rPr>
                <w:szCs w:val="22"/>
              </w:rPr>
            </w:pPr>
            <w:r w:rsidRPr="00947108">
              <w:rPr>
                <w:szCs w:val="22"/>
              </w:rPr>
              <w:t>(ii)  each payment made to a provider as a result of the fraud or abuse;</w:t>
            </w:r>
          </w:p>
          <w:p w:rsidR="00947108" w:rsidRPr="00947108" w:rsidP="00947108" w14:paraId="5729914B" w14:textId="77777777">
            <w:pPr>
              <w:jc w:val="both"/>
              <w:rPr>
                <w:szCs w:val="22"/>
              </w:rPr>
            </w:pPr>
            <w:r w:rsidRPr="00947108">
              <w:rPr>
                <w:szCs w:val="22"/>
              </w:rPr>
              <w:t>(2)  subject to Subsection (c), begin payment recovery efforts; and</w:t>
            </w:r>
          </w:p>
          <w:p w:rsidR="00947108" w:rsidRPr="00947108" w:rsidP="00947108" w14:paraId="70B7DD1C" w14:textId="77777777">
            <w:pPr>
              <w:jc w:val="both"/>
              <w:rPr>
                <w:szCs w:val="22"/>
              </w:rPr>
            </w:pPr>
            <w:r w:rsidRPr="00947108">
              <w:rPr>
                <w:szCs w:val="22"/>
              </w:rPr>
              <w:t>(3)  ensure that any payment recovery efforts in which the organization engages are in accordance with rules the executive commissioner adopts.</w:t>
            </w:r>
          </w:p>
          <w:p w:rsidR="00947108" w:rsidRPr="00947108" w:rsidP="00947108" w14:paraId="58AA6678" w14:textId="77777777">
            <w:pPr>
              <w:jc w:val="both"/>
              <w:rPr>
                <w:szCs w:val="22"/>
              </w:rPr>
            </w:pPr>
            <w:r w:rsidRPr="00947108">
              <w:rPr>
                <w:szCs w:val="22"/>
              </w:rPr>
              <w:t>(c)  A managed care organization or the organization's contracted entity may not engage in payment recovery efforts if:</w:t>
            </w:r>
          </w:p>
          <w:p w:rsidR="00947108" w:rsidRPr="00947108" w:rsidP="00947108" w14:paraId="1C29E7A2" w14:textId="77777777">
            <w:pPr>
              <w:jc w:val="both"/>
              <w:rPr>
                <w:szCs w:val="22"/>
              </w:rPr>
            </w:pPr>
            <w:r w:rsidRPr="00947108">
              <w:rPr>
                <w:szCs w:val="22"/>
              </w:rPr>
              <w:t>(1)  the amount sought to be recovered under Subsection (b)(2) exceeds $100,000; and</w:t>
            </w:r>
          </w:p>
          <w:p w:rsidR="00947108" w:rsidRPr="00947108" w:rsidP="00947108" w14:paraId="0EA7E3C2" w14:textId="77777777">
            <w:pPr>
              <w:jc w:val="both"/>
              <w:rPr>
                <w:szCs w:val="22"/>
              </w:rPr>
            </w:pPr>
            <w:r w:rsidRPr="00947108">
              <w:rPr>
                <w:szCs w:val="22"/>
              </w:rPr>
              <w:t>(2)  not later than the 10th business day after the date the organization or entity notifies the office of inspector general and the office of the attorney general under Subsection (b)(1), the organization or entity receives a notice from either office indicating that the organization or entity is not authorized to proceed with recovery efforts.</w:t>
            </w:r>
          </w:p>
          <w:p w:rsidR="00947108" w:rsidRPr="00947108" w:rsidP="00947108" w14:paraId="59D93BE7" w14:textId="77777777">
            <w:pPr>
              <w:jc w:val="both"/>
              <w:rPr>
                <w:szCs w:val="22"/>
              </w:rPr>
            </w:pPr>
            <w:r w:rsidRPr="00947108">
              <w:rPr>
                <w:szCs w:val="22"/>
              </w:rPr>
              <w:t>(d)  A managed care organization may retain one-half of any money the organization or the organization's contracted entity recovers under Subsection (b)(2).  The organization shall remit the remaining amount of recovered money to the office of inspector general for deposit to the credit of the general revenue fund.</w:t>
            </w:r>
          </w:p>
          <w:p w:rsidR="002B3885" w:rsidP="00947108" w14:paraId="4A1874E4" w14:textId="77777777">
            <w:pPr>
              <w:jc w:val="both"/>
              <w:rPr>
                <w:szCs w:val="22"/>
              </w:rPr>
            </w:pPr>
            <w:r w:rsidRPr="00947108">
              <w:rPr>
                <w:szCs w:val="22"/>
              </w:rPr>
              <w:t>(e)  If the office of inspector general notifies a managed care organization in accordance with Subsection (c), proceeds with recovery efforts, and recovers all or part of the payments the organization identified as required by Subsection (b)(1), the organization is entitled to one-half of the amount recovered for each payment the organization identified after any applicable federal share is deducted.  The organization may not receive more than one-half of the total amount recovered after any federal share is deducted.</w:t>
            </w:r>
          </w:p>
          <w:p w:rsidR="00BA288E" w:rsidRPr="00F43357" w:rsidP="00947108" w14:paraId="16452C65" w14:textId="0BB8DD25">
            <w:pPr>
              <w:jc w:val="both"/>
              <w:rPr>
                <w:szCs w:val="22"/>
              </w:rPr>
            </w:pPr>
            <w:r>
              <w:rPr>
                <w:szCs w:val="22"/>
              </w:rPr>
              <w:t>…</w:t>
            </w:r>
          </w:p>
        </w:tc>
        <w:tc>
          <w:tcPr>
            <w:tcW w:w="6017" w:type="dxa"/>
          </w:tcPr>
          <w:p w:rsidR="00335D51" w:rsidRPr="00335D51" w:rsidP="00335D51" w14:paraId="3846475A" w14:textId="7A4F246B">
            <w:pPr>
              <w:jc w:val="both"/>
              <w:rPr>
                <w:szCs w:val="22"/>
              </w:rPr>
            </w:pPr>
            <w:r w:rsidRPr="00335D51">
              <w:rPr>
                <w:szCs w:val="22"/>
              </w:rPr>
              <w:t>SECTION 1.01.  Subtitle I, Title 4, Government Code, is amended</w:t>
            </w:r>
            <w:r w:rsidR="004350F0">
              <w:rPr>
                <w:szCs w:val="22"/>
              </w:rPr>
              <w:t>…</w:t>
            </w:r>
          </w:p>
          <w:p w:rsidR="00335D51" w:rsidP="00335D51" w14:paraId="0F851557" w14:textId="49351FB2">
            <w:pPr>
              <w:jc w:val="both"/>
              <w:rPr>
                <w:szCs w:val="22"/>
              </w:rPr>
            </w:pPr>
          </w:p>
          <w:p w:rsidR="00A13A9C" w:rsidRPr="00A13A9C" w:rsidP="00A13A9C" w14:paraId="0C5124A0" w14:textId="5EA8DF22">
            <w:pPr>
              <w:jc w:val="both"/>
              <w:rPr>
                <w:szCs w:val="22"/>
              </w:rPr>
            </w:pPr>
            <w:r w:rsidRPr="00A13A9C">
              <w:rPr>
                <w:szCs w:val="22"/>
              </w:rPr>
              <w:t>Sec. 544.0502.  PAYMENT RECOVERY EFFORTS BY CERTAIN PERSONS; RETENTION OF RECOVERED AMOUNTS.  (a)  In this section, "contracted entity" means an entity with which a managed care organization contracts under Section 544.0352(a)(2).</w:t>
            </w:r>
          </w:p>
          <w:p w:rsidR="00A13A9C" w:rsidRPr="00A13A9C" w:rsidP="00A13A9C" w14:paraId="1FF6CF3D" w14:textId="77777777">
            <w:pPr>
              <w:jc w:val="both"/>
              <w:rPr>
                <w:szCs w:val="22"/>
              </w:rPr>
            </w:pPr>
            <w:r w:rsidRPr="00A13A9C">
              <w:rPr>
                <w:szCs w:val="22"/>
              </w:rPr>
              <w:t>(b)  A managed care organization or the organization's contracted entity that discovers Medicaid or child health plan program fraud or abuse shall:</w:t>
            </w:r>
          </w:p>
          <w:p w:rsidR="00A13A9C" w:rsidRPr="00A13A9C" w:rsidP="00A13A9C" w14:paraId="5A792B14" w14:textId="77777777">
            <w:pPr>
              <w:jc w:val="both"/>
              <w:rPr>
                <w:szCs w:val="22"/>
              </w:rPr>
            </w:pPr>
            <w:r w:rsidRPr="00A13A9C">
              <w:rPr>
                <w:szCs w:val="22"/>
              </w:rPr>
              <w:t>(1)  immediately submit written notice to the office of inspector general and the office of the attorney general that:</w:t>
            </w:r>
          </w:p>
          <w:p w:rsidR="00A13A9C" w:rsidRPr="00A13A9C" w:rsidP="00A13A9C" w14:paraId="757688E3" w14:textId="77777777">
            <w:pPr>
              <w:jc w:val="both"/>
              <w:rPr>
                <w:szCs w:val="22"/>
              </w:rPr>
            </w:pPr>
            <w:r w:rsidRPr="00A13A9C">
              <w:rPr>
                <w:szCs w:val="22"/>
              </w:rPr>
              <w:t>(A)  is in the form and manner the office of inspector general prescribes; and</w:t>
            </w:r>
          </w:p>
          <w:p w:rsidR="00A13A9C" w:rsidRPr="00A13A9C" w:rsidP="00A13A9C" w14:paraId="5F6E5883" w14:textId="77777777">
            <w:pPr>
              <w:jc w:val="both"/>
              <w:rPr>
                <w:szCs w:val="22"/>
              </w:rPr>
            </w:pPr>
            <w:r w:rsidRPr="00A13A9C">
              <w:rPr>
                <w:szCs w:val="22"/>
              </w:rPr>
              <w:t>(B)  contains a detailed description of:</w:t>
            </w:r>
          </w:p>
          <w:p w:rsidR="00A13A9C" w:rsidRPr="00A13A9C" w:rsidP="00A13A9C" w14:paraId="274670BC" w14:textId="77777777">
            <w:pPr>
              <w:jc w:val="both"/>
              <w:rPr>
                <w:szCs w:val="22"/>
              </w:rPr>
            </w:pPr>
            <w:r w:rsidRPr="00A13A9C">
              <w:rPr>
                <w:szCs w:val="22"/>
              </w:rPr>
              <w:t>(i)  the fraud or abuse; and</w:t>
            </w:r>
          </w:p>
          <w:p w:rsidR="00A13A9C" w:rsidRPr="00A13A9C" w:rsidP="00A13A9C" w14:paraId="545F994A" w14:textId="77777777">
            <w:pPr>
              <w:jc w:val="both"/>
              <w:rPr>
                <w:szCs w:val="22"/>
              </w:rPr>
            </w:pPr>
            <w:r w:rsidRPr="00A13A9C">
              <w:rPr>
                <w:szCs w:val="22"/>
              </w:rPr>
              <w:t>(ii)  each payment made to a provider as a result of the fraud or abuse;</w:t>
            </w:r>
          </w:p>
          <w:p w:rsidR="00A13A9C" w:rsidRPr="00A13A9C" w:rsidP="00A13A9C" w14:paraId="7288802D" w14:textId="77777777">
            <w:pPr>
              <w:jc w:val="both"/>
              <w:rPr>
                <w:szCs w:val="22"/>
              </w:rPr>
            </w:pPr>
            <w:r w:rsidRPr="00A13A9C">
              <w:rPr>
                <w:szCs w:val="22"/>
              </w:rPr>
              <w:t>(2)  subject to Subsection (c), begin payment recovery efforts; and</w:t>
            </w:r>
          </w:p>
          <w:p w:rsidR="00A13A9C" w:rsidRPr="00A13A9C" w:rsidP="00A13A9C" w14:paraId="79AA2572" w14:textId="77777777">
            <w:pPr>
              <w:jc w:val="both"/>
              <w:rPr>
                <w:szCs w:val="22"/>
              </w:rPr>
            </w:pPr>
            <w:r w:rsidRPr="00A13A9C">
              <w:rPr>
                <w:szCs w:val="22"/>
              </w:rPr>
              <w:t>(3)  ensure that any payment recovery efforts in which the organization engages are in accordance with rules the executive commissioner adopts.</w:t>
            </w:r>
          </w:p>
          <w:p w:rsidR="00A13A9C" w:rsidRPr="00A13A9C" w:rsidP="00A13A9C" w14:paraId="0F6B8439" w14:textId="77777777">
            <w:pPr>
              <w:jc w:val="both"/>
              <w:rPr>
                <w:szCs w:val="22"/>
              </w:rPr>
            </w:pPr>
            <w:r w:rsidRPr="00A13A9C">
              <w:rPr>
                <w:szCs w:val="22"/>
              </w:rPr>
              <w:t>(c)  A managed care organization or the organization's contracted entity may not engage in payment recovery efforts if:</w:t>
            </w:r>
          </w:p>
          <w:p w:rsidR="00A13A9C" w:rsidRPr="00A13A9C" w:rsidP="00A13A9C" w14:paraId="2ABC3149" w14:textId="77777777">
            <w:pPr>
              <w:jc w:val="both"/>
              <w:rPr>
                <w:szCs w:val="22"/>
              </w:rPr>
            </w:pPr>
            <w:r w:rsidRPr="00A13A9C">
              <w:rPr>
                <w:szCs w:val="22"/>
              </w:rPr>
              <w:t>(1)  the amount sought to be recovered under Subsection (b)(2) exceeds $100,000; and</w:t>
            </w:r>
          </w:p>
          <w:p w:rsidR="00A13A9C" w:rsidRPr="00A13A9C" w:rsidP="00A13A9C" w14:paraId="10BB884D" w14:textId="77777777">
            <w:pPr>
              <w:jc w:val="both"/>
              <w:rPr>
                <w:szCs w:val="22"/>
              </w:rPr>
            </w:pPr>
            <w:r w:rsidRPr="00A13A9C">
              <w:rPr>
                <w:szCs w:val="22"/>
              </w:rPr>
              <w:t>(2)  not later than the 10th business day after the date the organization or entity notifies the office of inspector general and the office of the attorney general under Subsection (b)(1), the organization or entity receives a notice from either office indicating that the organization or entity is not authorized to proceed with recovery efforts.</w:t>
            </w:r>
          </w:p>
          <w:p w:rsidR="00A13A9C" w:rsidRPr="00A13A9C" w:rsidP="00A13A9C" w14:paraId="0568B018" w14:textId="77777777">
            <w:pPr>
              <w:jc w:val="both"/>
              <w:rPr>
                <w:szCs w:val="22"/>
              </w:rPr>
            </w:pPr>
            <w:r w:rsidRPr="00A13A9C">
              <w:rPr>
                <w:szCs w:val="22"/>
              </w:rPr>
              <w:t>(d)  A managed care organization may retain one-half of any money the organization or the organization's contracted entity recovers under Subsection (b)(2).  The organization shall remit the remaining amount of recovered money to the office of inspector general for deposit to the credit of the general revenue fund.</w:t>
            </w:r>
          </w:p>
          <w:p w:rsidR="002B3885" w:rsidP="00A13A9C" w14:paraId="39E861CF" w14:textId="77777777">
            <w:pPr>
              <w:jc w:val="both"/>
              <w:rPr>
                <w:szCs w:val="22"/>
              </w:rPr>
            </w:pPr>
            <w:r w:rsidRPr="00A13A9C">
              <w:rPr>
                <w:szCs w:val="22"/>
              </w:rPr>
              <w:t xml:space="preserve">(e)  If the office of inspector general notifies a managed care organization in accordance with Subsection (c), proceeds with recovery efforts, and recovers all or part of the payments the organization identified as required by Subsection (b)(1), the organization is entitled to one-half of the amount recovered for each payment the organization identified after any applicable federal share is deducted.  The organization may not receive more than one-half of the total amount recovered after any </w:t>
            </w:r>
            <w:r w:rsidRPr="0017018B">
              <w:rPr>
                <w:szCs w:val="22"/>
                <w:highlight w:val="lightGray"/>
              </w:rPr>
              <w:t>applicable</w:t>
            </w:r>
            <w:r w:rsidRPr="00A13A9C">
              <w:rPr>
                <w:szCs w:val="22"/>
              </w:rPr>
              <w:t xml:space="preserve"> federal share is deducted.  [FA1]</w:t>
            </w:r>
          </w:p>
          <w:p w:rsidR="00BA288E" w:rsidRPr="00C20066" w:rsidP="00A13A9C" w14:paraId="598742B5" w14:textId="649C13F9">
            <w:pPr>
              <w:jc w:val="both"/>
              <w:rPr>
                <w:szCs w:val="22"/>
              </w:rPr>
            </w:pPr>
            <w:r>
              <w:rPr>
                <w:szCs w:val="22"/>
              </w:rPr>
              <w:t>…</w:t>
            </w:r>
          </w:p>
        </w:tc>
        <w:tc>
          <w:tcPr>
            <w:tcW w:w="6013" w:type="dxa"/>
          </w:tcPr>
          <w:p w:rsidR="002B3885" w14:paraId="3516F817" w14:textId="77777777">
            <w:pPr>
              <w:jc w:val="both"/>
            </w:pPr>
          </w:p>
        </w:tc>
      </w:tr>
    </w:tbl>
    <w:p w:rsidR="000D4464" w14:paraId="585AEE9B" w14:textId="77777777"/>
    <w:sectPr w:rsidSect="002B3885">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CF1" w14:paraId="794CA5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3885" w14:paraId="241A1E66" w14:textId="4AF5EAB1">
    <w:pPr>
      <w:tabs>
        <w:tab w:val="center" w:pos="9360"/>
        <w:tab w:val="right" w:pos="18720"/>
      </w:tabs>
    </w:pPr>
    <w:r>
      <w:fldChar w:fldCharType="begin"/>
    </w:r>
    <w:r>
      <w:instrText xml:space="preserve"> DOCPROPERTY  CCRF  \* MERGEFORMAT </w:instrText>
    </w:r>
    <w:r>
      <w:fldChar w:fldCharType="separate"/>
    </w:r>
    <w:r w:rsidR="004350F0">
      <w:t xml:space="preserve"> </w:t>
    </w:r>
    <w:r w:rsidR="004350F0">
      <w:fldChar w:fldCharType="end"/>
    </w:r>
    <w:r w:rsidR="00B46FDE">
      <w:tab/>
    </w:r>
    <w:r>
      <w:fldChar w:fldCharType="begin"/>
    </w:r>
    <w:r w:rsidR="00B46FDE">
      <w:instrText xml:space="preserve"> PAGE </w:instrText>
    </w:r>
    <w:r>
      <w:fldChar w:fldCharType="separate"/>
    </w:r>
    <w:r w:rsidR="00B46FDE">
      <w:t>2</w:t>
    </w:r>
    <w:r>
      <w:fldChar w:fldCharType="end"/>
    </w:r>
    <w:r w:rsidR="00B46FDE">
      <w:tab/>
    </w:r>
    <w:r>
      <w:fldChar w:fldCharType="begin"/>
    </w:r>
    <w:r>
      <w:instrText xml:space="preserve"> DOCPROPERTY  OTID  \* MERGEFORMAT </w:instrText>
    </w:r>
    <w:r>
      <w:fldChar w:fldCharType="separate"/>
    </w:r>
    <w:r w:rsidR="004350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CF1" w14:paraId="2D59D1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CF1" w14:paraId="04584F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CF1" w14:paraId="18E0E89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CF1" w14:paraId="54B3234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85"/>
    <w:rsid w:val="00025B09"/>
    <w:rsid w:val="00037F05"/>
    <w:rsid w:val="00060C14"/>
    <w:rsid w:val="000C64C1"/>
    <w:rsid w:val="000D3930"/>
    <w:rsid w:val="000D4464"/>
    <w:rsid w:val="001052B0"/>
    <w:rsid w:val="0017018B"/>
    <w:rsid w:val="00182662"/>
    <w:rsid w:val="002B3885"/>
    <w:rsid w:val="002E7AC2"/>
    <w:rsid w:val="003013DF"/>
    <w:rsid w:val="00323CF1"/>
    <w:rsid w:val="00334649"/>
    <w:rsid w:val="00335D51"/>
    <w:rsid w:val="003C4329"/>
    <w:rsid w:val="004273EC"/>
    <w:rsid w:val="004350F0"/>
    <w:rsid w:val="00600BCC"/>
    <w:rsid w:val="006301E8"/>
    <w:rsid w:val="006B330F"/>
    <w:rsid w:val="00724409"/>
    <w:rsid w:val="007C4988"/>
    <w:rsid w:val="007F7F29"/>
    <w:rsid w:val="00865667"/>
    <w:rsid w:val="008B095A"/>
    <w:rsid w:val="00947108"/>
    <w:rsid w:val="00A13A9C"/>
    <w:rsid w:val="00AE1328"/>
    <w:rsid w:val="00AE275A"/>
    <w:rsid w:val="00B24F35"/>
    <w:rsid w:val="00B46FDE"/>
    <w:rsid w:val="00B714C9"/>
    <w:rsid w:val="00B91AB2"/>
    <w:rsid w:val="00BA288E"/>
    <w:rsid w:val="00C20066"/>
    <w:rsid w:val="00CA31A8"/>
    <w:rsid w:val="00CE2110"/>
    <w:rsid w:val="00CF71C9"/>
    <w:rsid w:val="00DA6410"/>
    <w:rsid w:val="00E91F6E"/>
    <w:rsid w:val="00F2509C"/>
    <w:rsid w:val="00F433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D9C2990-6EAF-47C6-A5B6-1D8B97F7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88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CF1"/>
    <w:pPr>
      <w:tabs>
        <w:tab w:val="center" w:pos="4680"/>
        <w:tab w:val="right" w:pos="9360"/>
      </w:tabs>
    </w:pPr>
  </w:style>
  <w:style w:type="character" w:customStyle="1" w:styleId="HeaderChar">
    <w:name w:val="Header Char"/>
    <w:basedOn w:val="DefaultParagraphFont"/>
    <w:link w:val="Header"/>
    <w:uiPriority w:val="99"/>
    <w:rsid w:val="00323CF1"/>
    <w:rPr>
      <w:sz w:val="22"/>
    </w:rPr>
  </w:style>
  <w:style w:type="paragraph" w:styleId="Footer">
    <w:name w:val="footer"/>
    <w:basedOn w:val="Normal"/>
    <w:link w:val="FooterChar"/>
    <w:uiPriority w:val="99"/>
    <w:unhideWhenUsed/>
    <w:rsid w:val="00323CF1"/>
    <w:pPr>
      <w:tabs>
        <w:tab w:val="center" w:pos="4680"/>
        <w:tab w:val="right" w:pos="9360"/>
      </w:tabs>
    </w:pPr>
  </w:style>
  <w:style w:type="character" w:customStyle="1" w:styleId="FooterChar">
    <w:name w:val="Footer Char"/>
    <w:basedOn w:val="DefaultParagraphFont"/>
    <w:link w:val="Footer"/>
    <w:uiPriority w:val="99"/>
    <w:rsid w:val="00323C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SXS.dotm</Template>
  <TotalTime>0</TotalTime>
  <Pages>2</Pages>
  <Words>771</Words>
  <Characters>4212</Characters>
  <Application>Microsoft Office Word</Application>
  <DocSecurity>0</DocSecurity>
  <Lines>113</Lines>
  <Paragraphs>39</Paragraphs>
  <ScaleCrop>false</ScaleCrop>
  <HeadingPairs>
    <vt:vector size="2" baseType="variant">
      <vt:variant>
        <vt:lpstr>Title</vt:lpstr>
      </vt:variant>
      <vt:variant>
        <vt:i4>1</vt:i4>
      </vt:variant>
    </vt:vector>
  </HeadingPairs>
  <TitlesOfParts>
    <vt:vector size="1" baseType="lpstr">
      <vt:lpstr>HB2929-SAA</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HB2929-SAA</dc:title>
  <dc:creator>Victoria Lovejoy</dc:creator>
  <cp:lastModifiedBy>Chandler Lewis</cp:lastModifiedBy>
  <cp:revision>2</cp:revision>
  <dcterms:created xsi:type="dcterms:W3CDTF">2023-05-18T02:57:00Z</dcterms:created>
  <dcterms:modified xsi:type="dcterms:W3CDTF">2023-05-18T02:57:00Z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