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89S10002 DNC-F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Bell of Montgomery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provision by a political subdivision of credits against impact fees to builders and developers for certain water conservation and reuse projects.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395, Local Government Code, is amended by adding Section 395.0231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395.0231.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CONSERVATION AND REUSE CREDITS AGAINST WATER AND WASTEWATER FEES.  (a) </w:t>
      </w:r>
      <w:r>
        <w:rPr>
          <w:u w:val="single"/>
        </w:rPr>
        <w:t xml:space="preserve"> </w:t>
      </w:r>
      <w:r>
        <w:rPr>
          <w:u w:val="single"/>
        </w:rPr>
        <w:t xml:space="preserve">A political subdivision shall provide a credit against water and wastewater impact fees otherwise assessed to a development to a builder or developer for the construction, contribution, or dedication of an eligible facility, system, or product that results in water reuse, conservation, or savings.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facility, system, or product eligible for a credit under this section includes a facility, system, or product that: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reduces per service unit water consumption, supply requirements, or necessary treatment and distribution infrastructure per service unit;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decreases the need of wastewater collection and treatment facilities per service unit;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diminishes the demand for stormwater and drainage facilities per service unit;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integrates practices or technologies that achieve water efficiency, reuse, or conservation performance that exceed standard compliance requirements.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political subdivision that provides a credit under this section shall establish procedures for: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calculating and applying the credits in a fair and consistent manner;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reviewing and approving credits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on the 91st day after the last day of the legislative session.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