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an association or organization that solely represents elected sheriffs.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taxpayer or resident who prevails in an action under Subsection (c)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t xml:space="preserve"> </w:t>
      </w:r>
      <w:r>
        <w:rPr>
          <w:u w:val="single"/>
        </w:rPr>
        <w:t xml:space="preserve">Except as provided by Section 556.0056, Government Code, 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a taxpayer of a political subdivision that pays fees or dues to the association or organization is entitled to appropriate injunctive relief to prevent any further activity described by Subsection (a)(4)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w:t>
      </w:r>
      <w:r>
        <w:t xml:space="preserve"> </w:t>
      </w:r>
      <w:r>
        <w:t xml:space="preserve">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w:t>
      </w:r>
      <w:r>
        <w:t xml:space="preserve"> </w:t>
      </w:r>
      <w:r>
        <w:t xml:space="preserve">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