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89S10326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H.B.</w:t>
      </w:r>
      <w:r xml:space="preserve">
        <w:t> </w:t>
      </w:r>
      <w:r>
        <w:t xml:space="preserve">No.</w:t>
      </w:r>
      <w:r xml:space="preserve">
        <w:t> </w:t>
      </w:r>
      <w:r>
        <w:t xml:space="preserve">104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municipal and county financial requirements.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140, Local Government Code, is amended by adding Sections 140.015 and 140.016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140.015.</w:t>
      </w:r>
      <w:r>
        <w:rPr>
          <w:u w:val="single"/>
        </w:rPr>
        <w:t xml:space="preserve"> </w:t>
      </w:r>
      <w:r>
        <w:rPr>
          <w:u w:val="single"/>
        </w:rPr>
        <w:t xml:space="preserve"> </w:t>
      </w:r>
      <w:r>
        <w:rPr>
          <w:u w:val="single"/>
        </w:rPr>
        <w:t xml:space="preserve">LIMIT ON ANNUAL EXPENDITURES.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Legislative Budget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"Consumer price index" means the average over a calendar year of the index the board considers to most accurately report changes in the purchasing power of the dollar for consumers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"Inflation rate" means the amount, expressed in decimal form rounded to the nearest thousandth, computed by determining the percentage change in the consumer price index for the preceding calendar year as compared to the consumer price index for the calendar year preceding that calendar year.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"Population growth rate" means the rate of growth of the state's population during the preceding calendar year, expressed in decimal form rounded to the nearest thousandth, determined by the board in accordance with the most recent population estimates published by the United States Census Bureau.</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political subdivision that is a municipality or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and subject to Subsection (f), a political subdivision's total expenditures from all available sources of revenue in a fiscal year may not exceed the greater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political subdivision's total expenditures from all available sources of revenue in the preceding fiscal year;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amount determined by multiplying: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political subdivision's total expenditures from all available sources of revenue in the preceding fiscal year;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rate most recently published by the board under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January 31 of each year, the board shall publish a rate equal to the sum of the population growth rate and the inflation rate.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political subdivision's total expenditures from all available sources of local revenue in a fiscal year may exceed the amount described by Subsection (c)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political subdivision's voters approve the additional expenditures for that fiscal year at an election called for that purpose and held on a uniform election date;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 declares or renews a declaration of a state of disaster under Section 418.014, Government Code, in that fiscal year, and the governor's designation of the area threatened includes all or part of the geographic territory of the political subdivision.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amount by which a political subdivision's total expenditures from all available sources of revenue in a fiscal year may exceed the amount described by Subsection (c) under Subsection (e)(2) may not exceed an amount equal to the actual costs incurred by the political subdivision as a result of the declared disaster described by Subsection (e)(2).</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For purposes of this section, the following are not considered an available source of revenue: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received from the issuance of bonds approved by the voters;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grant, donation, or gift.</w:t>
      </w:r>
    </w:p>
    <w:p w:rsidR="003F3435" w:rsidRDefault="0032493E">
      <w:pPr>
        <w:spacing w:line="480" w:lineRule="auto"/>
        <w:ind w:firstLine="720"/>
        <w:jc w:val="both"/>
      </w:pPr>
      <w:r>
        <w:rPr>
          <w:u w:val="single"/>
        </w:rPr>
        <w:t xml:space="preserve">Sec.</w:t>
      </w:r>
      <w:r>
        <w:rPr>
          <w:u w:val="single"/>
        </w:rPr>
        <w:t xml:space="preserve"> </w:t>
      </w:r>
      <w:r>
        <w:rPr>
          <w:u w:val="single"/>
        </w:rPr>
        <w:t xml:space="preserve">140.016.</w:t>
      </w:r>
      <w:r>
        <w:rPr>
          <w:u w:val="single"/>
        </w:rPr>
        <w:t xml:space="preserve"> </w:t>
      </w:r>
      <w:r>
        <w:rPr>
          <w:u w:val="single"/>
        </w:rPr>
        <w:t xml:space="preserve"> </w:t>
      </w:r>
      <w:r>
        <w:rPr>
          <w:u w:val="single"/>
        </w:rPr>
        <w:t xml:space="preserve">TAXPAYER'S BUDGET SUMMARY. (a) This section applies only to a political subdivision that is a municipality or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20th day after the date the governing body of a political subdivision adopts a budget for the fiscal year, the political subdivision shall post on the political subdivision's Internet website, if the political subdivision maintains a website, or make publicly available if the political subdivision does not maintain an Internet website a summary of the adopted budget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amount of the budget adopted for that fiscal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budgeted for the fiscal year in each of the following categories: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general government;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public health;</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public safety;</w:t>
      </w:r>
      <w:r>
        <w:t xml:space="preserve"> </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business and economic development;</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transportation;</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debt service;</w:t>
      </w:r>
      <w:r>
        <w:t xml:space="preserve"> </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capital improvements;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other expenditures;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taxpayer impact statement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lists the name of each fee and property tax, as applicable, imposed by the governmental body on a typical residential ratepayer;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states the amount of each fee or tax listed in Paragraph (A) for a typical residential ratepayer for: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fiscal year preceding the year applicable to the proposed budget;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fiscal year applicable to the proposed budget;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states the difference in the amounts stated in Paragraphs (B)(i) and (B)(ii) for each fee or tax listed in Paragraph (A);</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briefly defines a typical residential ratepayer for each fee and property tax listed in Paragraph (A);</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includes an aggregated total for the amounts stated in Paragraphs (B)(i), (B)(ii), and (C), stated separately;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includes aggregate amounts for each fee, property tax, or other source of revenue, broken down by the revenue type that will be used to fund expenditures in the proposed and adopted budget.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20th day before the date the governing body of a political subdivision holds a public hearing on the adoption of a budget for the upcoming fiscal year, the political subdivision shall post on the political subdivision's Internet website, if the political subdivision maintains a website, or make publicly available if the political subdivision does not maintain an Internet website a summary of the proposed budget that includes for each category described by Subsection (b), in a manner that allows comparison of the amounts across categories: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budgeted amount for the preceding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proposed amount for the upcoming fiscal year.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summary prepared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 a total budget amount that is equal to the sum of the budget amounts provided for each category;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include an expenditure in more than one budget category.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140.015 and 140.016, Local Government Code, as added by this Act, apply only to a fiscal year of a municipality or county that begins on or after December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