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comprehensive review of taxable goods and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comptroller of public accounts shall conduct a comprehensive review of the state's sales and use tax structure under Chapter 151, Tax Code. </w:t>
      </w:r>
      <w:r>
        <w:t xml:space="preserve"> </w:t>
      </w:r>
      <w:r>
        <w:t xml:space="preserve">The review shall include:</w:t>
      </w:r>
    </w:p>
    <w:p w:rsidR="003F3435" w:rsidRDefault="0032493E">
      <w:pPr>
        <w:spacing w:line="480" w:lineRule="auto"/>
        <w:ind w:firstLine="7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inventory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All goods and services currently subject to sales and use tax under state law,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goods and services currently exempt from sales and use tax under state law,</w:t>
      </w:r>
    </w:p>
    <w:p w:rsidR="003F3435" w:rsidRDefault="0032493E">
      <w:pPr>
        <w:spacing w:line="480" w:lineRule="auto"/>
        <w:ind w:firstLine="144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comparison of the state's sales and use tax base to the sales tax structures of other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Identification of goods and services not currently taxed under state law that are: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Commonly taxed in other states,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Growing or emerging sectors of the Texas economy,</w:t>
      </w:r>
    </w:p>
    <w:p w:rsidR="003F3435" w:rsidRDefault="0032493E">
      <w:pPr>
        <w:spacing w:line="480" w:lineRule="auto"/>
        <w:ind w:firstLine="144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Potential for inclusion in future tax reform proposals.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economic and fiscal impact analysis of expanding sales and use tax base to include additional goods and services,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Projected revenue gains under various expansion scenarios,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Distributional effects on income groups and geographic regions of the state,</w:t>
      </w:r>
    </w:p>
    <w:p w:rsidR="003F3435" w:rsidRDefault="0032493E">
      <w:pPr>
        <w:spacing w:line="480" w:lineRule="auto"/>
        <w:ind w:firstLine="144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Potential impacts on small businesses, Texas-based industries, consumer behavior, and the state's economic competitiveness.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REPORT TO THE LEGISLATURE.  Not later than December 1, 2026, the comptroller shall submit a written report to the governor, lieutenant governor, speaker of the house, and members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end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